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F0F" w:rsidRDefault="00974F0F" w:rsidP="00974F0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textAlignment w:val="baseline"/>
        <w:rPr>
          <w:rFonts w:ascii="Times New Roman" w:eastAsia="Calibri" w:hAnsi="Times New Roman" w:cs="Times New Roman"/>
          <w:b/>
          <w:sz w:val="28"/>
          <w:szCs w:val="28"/>
          <w:lang w:val="uk-UA"/>
        </w:rPr>
      </w:pPr>
      <w:bookmarkStart w:id="0" w:name="_GoBack"/>
      <w:bookmarkEnd w:id="0"/>
    </w:p>
    <w:p w:rsidR="008E006F" w:rsidRPr="008E006F" w:rsidRDefault="008E006F" w:rsidP="008E00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b/>
          <w:sz w:val="28"/>
          <w:szCs w:val="28"/>
          <w:lang w:val="uk-UA"/>
        </w:rPr>
      </w:pPr>
      <w:r w:rsidRPr="008E006F">
        <w:rPr>
          <w:rFonts w:ascii="Times New Roman" w:eastAsia="Calibri" w:hAnsi="Times New Roman" w:cs="Times New Roman"/>
          <w:b/>
          <w:sz w:val="28"/>
          <w:szCs w:val="28"/>
          <w:lang w:val="uk-UA"/>
        </w:rPr>
        <w:t>ІНФОРМАЦІЯ</w:t>
      </w:r>
    </w:p>
    <w:p w:rsidR="008E006F" w:rsidRPr="008E006F" w:rsidRDefault="008E006F" w:rsidP="008E00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Consolas"/>
          <w:b/>
          <w:sz w:val="28"/>
          <w:szCs w:val="28"/>
          <w:lang w:val="uk-UA" w:eastAsia="ru-RU"/>
        </w:rPr>
      </w:pPr>
      <w:r w:rsidRPr="008E006F">
        <w:rPr>
          <w:rFonts w:ascii="Times New Roman" w:eastAsia="Calibri" w:hAnsi="Times New Roman" w:cs="Times New Roman"/>
          <w:b/>
          <w:sz w:val="28"/>
          <w:szCs w:val="28"/>
          <w:lang w:val="uk-UA"/>
        </w:rPr>
        <w:t xml:space="preserve">стосовно розподілу повноважень між </w:t>
      </w:r>
      <w:r w:rsidRPr="008E006F">
        <w:rPr>
          <w:rFonts w:ascii="Times New Roman" w:eastAsia="Times New Roman" w:hAnsi="Times New Roman" w:cs="Times New Roman"/>
          <w:b/>
          <w:sz w:val="28"/>
          <w:szCs w:val="28"/>
          <w:lang w:val="uk-UA" w:eastAsia="uk-UA"/>
        </w:rPr>
        <w:t xml:space="preserve">НКРЕКП </w:t>
      </w:r>
      <w:r w:rsidRPr="008E006F">
        <w:rPr>
          <w:rFonts w:ascii="Times New Roman" w:eastAsia="Times New Roman" w:hAnsi="Times New Roman" w:cs="Consolas"/>
          <w:b/>
          <w:sz w:val="28"/>
          <w:szCs w:val="28"/>
          <w:lang w:val="uk-UA" w:eastAsia="ru-RU"/>
        </w:rPr>
        <w:t xml:space="preserve">та органами місцевого самоврядування </w:t>
      </w:r>
      <w:r w:rsidRPr="008E006F">
        <w:rPr>
          <w:rFonts w:ascii="Times New Roman" w:eastAsia="Calibri" w:hAnsi="Times New Roman" w:cs="Times New Roman"/>
          <w:b/>
          <w:sz w:val="28"/>
          <w:szCs w:val="28"/>
          <w:lang w:val="uk-UA"/>
        </w:rPr>
        <w:t xml:space="preserve">щодо встановлення тарифів на теплову енергію, </w:t>
      </w:r>
      <w:r w:rsidRPr="008E006F">
        <w:rPr>
          <w:rFonts w:ascii="Times New Roman" w:eastAsia="Times New Roman" w:hAnsi="Times New Roman" w:cs="Consolas"/>
          <w:b/>
          <w:sz w:val="28"/>
          <w:szCs w:val="28"/>
          <w:lang w:val="uk-UA" w:eastAsia="ru-RU"/>
        </w:rPr>
        <w:t>централізоване водопостачання та водовідведення,</w:t>
      </w:r>
      <w:r w:rsidRPr="008E006F">
        <w:rPr>
          <w:rFonts w:ascii="Times New Roman" w:eastAsia="Calibri" w:hAnsi="Times New Roman" w:cs="Times New Roman"/>
          <w:b/>
          <w:sz w:val="28"/>
          <w:szCs w:val="28"/>
          <w:lang w:val="uk-UA"/>
        </w:rPr>
        <w:t xml:space="preserve"> послуги з централізованого опалення і постачання гарячої води та холодної води, </w:t>
      </w:r>
      <w:r w:rsidRPr="008E006F">
        <w:rPr>
          <w:rFonts w:ascii="Times New Roman" w:eastAsia="Times New Roman" w:hAnsi="Times New Roman" w:cs="Consolas"/>
          <w:b/>
          <w:sz w:val="28"/>
          <w:szCs w:val="28"/>
          <w:lang w:val="uk-UA" w:eastAsia="ru-RU"/>
        </w:rPr>
        <w:t>водовідведення</w:t>
      </w:r>
    </w:p>
    <w:p w:rsidR="00C773E3" w:rsidRDefault="00C773E3" w:rsidP="00883A4F">
      <w:pPr>
        <w:shd w:val="clear" w:color="auto" w:fill="FFFFFF"/>
        <w:tabs>
          <w:tab w:val="left" w:pos="708"/>
        </w:tabs>
        <w:spacing w:after="150" w:line="240" w:lineRule="auto"/>
        <w:jc w:val="both"/>
        <w:textAlignment w:val="baseline"/>
        <w:rPr>
          <w:rFonts w:ascii="Times New Roman" w:eastAsia="Calibri" w:hAnsi="Times New Roman" w:cs="Times New Roman"/>
          <w:sz w:val="28"/>
          <w:szCs w:val="28"/>
          <w:lang w:val="uk-UA"/>
        </w:rPr>
      </w:pPr>
    </w:p>
    <w:p w:rsidR="00C773E3" w:rsidRDefault="009D7A49" w:rsidP="00883A4F">
      <w:pPr>
        <w:shd w:val="clear" w:color="auto" w:fill="FFFFFF"/>
        <w:tabs>
          <w:tab w:val="left" w:pos="708"/>
        </w:tabs>
        <w:spacing w:after="0" w:line="240" w:lineRule="auto"/>
        <w:ind w:firstLine="450"/>
        <w:jc w:val="both"/>
        <w:textAlignment w:val="baseline"/>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Відповідно до </w:t>
      </w:r>
      <w:r w:rsidRPr="009D7A49">
        <w:rPr>
          <w:rFonts w:ascii="Times New Roman" w:eastAsia="Calibri" w:hAnsi="Times New Roman" w:cs="Times New Roman"/>
          <w:sz w:val="28"/>
          <w:szCs w:val="28"/>
          <w:lang w:val="uk-UA"/>
        </w:rPr>
        <w:t>Ліцензійних умов провадження господарської діяльності з централізованого водопостачання та водовідведення</w:t>
      </w:r>
      <w:r>
        <w:rPr>
          <w:rFonts w:ascii="Times New Roman" w:eastAsia="Calibri" w:hAnsi="Times New Roman" w:cs="Times New Roman"/>
          <w:sz w:val="28"/>
          <w:szCs w:val="28"/>
          <w:lang w:val="uk-UA"/>
        </w:rPr>
        <w:t xml:space="preserve">, затверджених </w:t>
      </w:r>
      <w:r w:rsidR="004E31D2">
        <w:rPr>
          <w:rFonts w:ascii="Times New Roman" w:eastAsia="Calibri" w:hAnsi="Times New Roman" w:cs="Times New Roman"/>
          <w:sz w:val="28"/>
          <w:szCs w:val="28"/>
          <w:lang w:val="uk-UA"/>
        </w:rPr>
        <w:t xml:space="preserve">постановою Національної комісії, що здійснює державне регулювання у сферах енергетики та комунальних послуг, від </w:t>
      </w:r>
      <w:r w:rsidR="004E31D2" w:rsidRPr="004E31D2">
        <w:rPr>
          <w:rFonts w:ascii="Times New Roman" w:eastAsia="Calibri" w:hAnsi="Times New Roman" w:cs="Times New Roman"/>
          <w:sz w:val="28"/>
          <w:szCs w:val="28"/>
          <w:lang w:val="uk-UA"/>
        </w:rPr>
        <w:t>22.03.2017  № 307</w:t>
      </w:r>
      <w:r w:rsidR="00AB63C5">
        <w:rPr>
          <w:rFonts w:ascii="Times New Roman" w:eastAsia="Calibri" w:hAnsi="Times New Roman" w:cs="Times New Roman"/>
          <w:sz w:val="28"/>
          <w:szCs w:val="28"/>
          <w:lang w:val="uk-UA"/>
        </w:rPr>
        <w:t>:</w:t>
      </w:r>
    </w:p>
    <w:p w:rsidR="004F4D56" w:rsidRPr="004F4D56" w:rsidRDefault="004F4D56" w:rsidP="00883A4F">
      <w:pPr>
        <w:shd w:val="clear" w:color="auto" w:fill="FFFFFF"/>
        <w:tabs>
          <w:tab w:val="left" w:pos="708"/>
        </w:tabs>
        <w:spacing w:after="0" w:line="240" w:lineRule="auto"/>
        <w:ind w:firstLine="450"/>
        <w:jc w:val="both"/>
        <w:textAlignment w:val="baseline"/>
        <w:rPr>
          <w:rFonts w:ascii="Times New Roman" w:eastAsia="Calibri" w:hAnsi="Times New Roman" w:cs="Times New Roman"/>
          <w:sz w:val="28"/>
          <w:szCs w:val="28"/>
          <w:lang w:val="uk-UA"/>
        </w:rPr>
      </w:pPr>
      <w:r w:rsidRPr="004F4D56">
        <w:rPr>
          <w:rFonts w:ascii="Times New Roman" w:eastAsia="Calibri" w:hAnsi="Times New Roman" w:cs="Times New Roman"/>
          <w:sz w:val="28"/>
          <w:szCs w:val="28"/>
          <w:lang w:val="uk-UA"/>
        </w:rPr>
        <w:t>Національна комісія, що здійснює державне регулювання у сферах енергетики та комунальних послуг, здійснює ліцензування господарської діяльності з централізованого водопостачання (виробництво та/або транспортування та/або постачання питної води споживачам) та/або водовідведення (відведення та/або очищення стічної води) у разі, якщо системи централізованого водопостачання та/або водовідведення суб’єктів господарювання розташовані в одному чи декількох населених пунктах у межах території однієї або більше областей (включаючи місто Київ), сукупна чисельність населення яких становить більше ніж сто тисяч осіб та обсяги реалізації послуг яких становлять відповідно: з централізованого водопостачання - більше ніж триста тисяч метрів кубічних на рік; з централізованого водовідведення - більше ніж двіст</w:t>
      </w:r>
      <w:r w:rsidR="00AB63C5">
        <w:rPr>
          <w:rFonts w:ascii="Times New Roman" w:eastAsia="Calibri" w:hAnsi="Times New Roman" w:cs="Times New Roman"/>
          <w:sz w:val="28"/>
          <w:szCs w:val="28"/>
          <w:lang w:val="uk-UA"/>
        </w:rPr>
        <w:t>і тисяч метрів кубічних на рік.</w:t>
      </w:r>
    </w:p>
    <w:p w:rsidR="00C773E3" w:rsidRDefault="004F4D56" w:rsidP="00883A4F">
      <w:pPr>
        <w:shd w:val="clear" w:color="auto" w:fill="FFFFFF"/>
        <w:tabs>
          <w:tab w:val="left" w:pos="708"/>
        </w:tabs>
        <w:spacing w:after="0" w:line="240" w:lineRule="auto"/>
        <w:ind w:firstLine="450"/>
        <w:jc w:val="both"/>
        <w:textAlignment w:val="baseline"/>
        <w:rPr>
          <w:rFonts w:ascii="Times New Roman" w:eastAsia="Calibri" w:hAnsi="Times New Roman" w:cs="Times New Roman"/>
          <w:sz w:val="28"/>
          <w:szCs w:val="28"/>
          <w:lang w:val="uk-UA"/>
        </w:rPr>
      </w:pPr>
      <w:r w:rsidRPr="004F4D56">
        <w:rPr>
          <w:rFonts w:ascii="Times New Roman" w:eastAsia="Calibri" w:hAnsi="Times New Roman" w:cs="Times New Roman"/>
          <w:sz w:val="28"/>
          <w:szCs w:val="28"/>
          <w:lang w:val="uk-UA"/>
        </w:rPr>
        <w:t>Обласні та Київська міська державні адміністрації здійснюють ліцензування господарської діяльності з централізованого водопостачання (виробництво та/або транспортування та/або постачання питної води споживачам) та/або водовідведення (відведення та/або очищення стічної води) для суб’єктів господарювання, що не підпадають</w:t>
      </w:r>
      <w:r w:rsidR="00AB63C5">
        <w:rPr>
          <w:rFonts w:ascii="Times New Roman" w:eastAsia="Calibri" w:hAnsi="Times New Roman" w:cs="Times New Roman"/>
          <w:sz w:val="28"/>
          <w:szCs w:val="28"/>
          <w:lang w:val="uk-UA"/>
        </w:rPr>
        <w:t xml:space="preserve"> під критерії регулювання Національної комісії, що здійснює державне регулювання у сферах енергетики та комунальних послуг.</w:t>
      </w:r>
    </w:p>
    <w:p w:rsidR="00AB63C5" w:rsidRDefault="0062717F" w:rsidP="00883A4F">
      <w:pPr>
        <w:shd w:val="clear" w:color="auto" w:fill="FFFFFF"/>
        <w:tabs>
          <w:tab w:val="left" w:pos="708"/>
        </w:tabs>
        <w:spacing w:after="0" w:line="240" w:lineRule="auto"/>
        <w:ind w:firstLine="450"/>
        <w:jc w:val="both"/>
        <w:textAlignment w:val="baseline"/>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Відповідно до </w:t>
      </w:r>
      <w:r w:rsidRPr="0062717F">
        <w:rPr>
          <w:rFonts w:ascii="Times New Roman" w:eastAsia="Calibri" w:hAnsi="Times New Roman" w:cs="Times New Roman"/>
          <w:sz w:val="28"/>
          <w:szCs w:val="28"/>
          <w:lang w:val="uk-UA"/>
        </w:rPr>
        <w:t>Ліцензійних умов провадження господарської діяльності у сфері теплопостачання</w:t>
      </w:r>
      <w:r>
        <w:rPr>
          <w:rFonts w:ascii="Times New Roman" w:eastAsia="Calibri" w:hAnsi="Times New Roman" w:cs="Times New Roman"/>
          <w:sz w:val="28"/>
          <w:szCs w:val="28"/>
          <w:lang w:val="uk-UA"/>
        </w:rPr>
        <w:t xml:space="preserve">, затверджених постановою Національної комісії, що здійснює державне регулювання у сферах енергетики та комунальних послуг, від </w:t>
      </w:r>
      <w:r w:rsidRPr="0062717F">
        <w:rPr>
          <w:rFonts w:ascii="Times New Roman" w:eastAsia="Calibri" w:hAnsi="Times New Roman" w:cs="Times New Roman"/>
          <w:sz w:val="28"/>
          <w:szCs w:val="28"/>
          <w:lang w:val="uk-UA"/>
        </w:rPr>
        <w:t>22.03.20</w:t>
      </w:r>
      <w:r>
        <w:rPr>
          <w:rFonts w:ascii="Times New Roman" w:eastAsia="Calibri" w:hAnsi="Times New Roman" w:cs="Times New Roman"/>
          <w:sz w:val="28"/>
          <w:szCs w:val="28"/>
          <w:lang w:val="uk-UA"/>
        </w:rPr>
        <w:t>17</w:t>
      </w:r>
      <w:r w:rsidRPr="0062717F">
        <w:rPr>
          <w:rFonts w:ascii="Times New Roman" w:eastAsia="Calibri" w:hAnsi="Times New Roman" w:cs="Times New Roman"/>
          <w:sz w:val="28"/>
          <w:szCs w:val="28"/>
          <w:lang w:val="uk-UA"/>
        </w:rPr>
        <w:t xml:space="preserve"> № 308</w:t>
      </w:r>
      <w:r>
        <w:rPr>
          <w:rFonts w:ascii="Times New Roman" w:eastAsia="Calibri" w:hAnsi="Times New Roman" w:cs="Times New Roman"/>
          <w:sz w:val="28"/>
          <w:szCs w:val="28"/>
          <w:lang w:val="uk-UA"/>
        </w:rPr>
        <w:t>:</w:t>
      </w:r>
    </w:p>
    <w:p w:rsidR="00DF056C" w:rsidRDefault="0009187F" w:rsidP="00883A4F">
      <w:pPr>
        <w:shd w:val="clear" w:color="auto" w:fill="FFFFFF"/>
        <w:tabs>
          <w:tab w:val="left" w:pos="708"/>
        </w:tabs>
        <w:spacing w:after="0" w:line="240" w:lineRule="auto"/>
        <w:ind w:firstLine="450"/>
        <w:jc w:val="both"/>
        <w:textAlignment w:val="baseline"/>
        <w:rPr>
          <w:rFonts w:ascii="Times New Roman" w:eastAsia="Calibri" w:hAnsi="Times New Roman" w:cs="Times New Roman"/>
          <w:sz w:val="28"/>
          <w:szCs w:val="28"/>
          <w:lang w:val="uk-UA"/>
        </w:rPr>
      </w:pPr>
      <w:r w:rsidRPr="0009187F">
        <w:rPr>
          <w:rFonts w:ascii="Times New Roman" w:eastAsia="Calibri" w:hAnsi="Times New Roman" w:cs="Times New Roman"/>
          <w:sz w:val="28"/>
          <w:szCs w:val="28"/>
          <w:lang w:val="uk-UA"/>
        </w:rPr>
        <w:t>Національна комісія, що здійснює державне регулювання у сферах енергетики та ком</w:t>
      </w:r>
      <w:r w:rsidR="00DF056C">
        <w:rPr>
          <w:rFonts w:ascii="Times New Roman" w:eastAsia="Calibri" w:hAnsi="Times New Roman" w:cs="Times New Roman"/>
          <w:sz w:val="28"/>
          <w:szCs w:val="28"/>
          <w:lang w:val="uk-UA"/>
        </w:rPr>
        <w:t>унальних послуг:</w:t>
      </w:r>
      <w:r w:rsidRPr="0009187F">
        <w:rPr>
          <w:rFonts w:ascii="Times New Roman" w:eastAsia="Calibri" w:hAnsi="Times New Roman" w:cs="Times New Roman"/>
          <w:sz w:val="28"/>
          <w:szCs w:val="28"/>
          <w:lang w:val="uk-UA"/>
        </w:rPr>
        <w:t xml:space="preserve"> </w:t>
      </w:r>
    </w:p>
    <w:p w:rsidR="0009187F" w:rsidRPr="0009187F" w:rsidRDefault="0009187F" w:rsidP="00883A4F">
      <w:pPr>
        <w:shd w:val="clear" w:color="auto" w:fill="FFFFFF"/>
        <w:tabs>
          <w:tab w:val="left" w:pos="708"/>
        </w:tabs>
        <w:spacing w:after="0" w:line="240" w:lineRule="auto"/>
        <w:ind w:firstLine="450"/>
        <w:jc w:val="both"/>
        <w:textAlignment w:val="baseline"/>
        <w:rPr>
          <w:rFonts w:ascii="Times New Roman" w:eastAsia="Calibri" w:hAnsi="Times New Roman" w:cs="Times New Roman"/>
          <w:sz w:val="28"/>
          <w:szCs w:val="28"/>
          <w:lang w:val="uk-UA"/>
        </w:rPr>
      </w:pPr>
      <w:r w:rsidRPr="0009187F">
        <w:rPr>
          <w:rFonts w:ascii="Times New Roman" w:eastAsia="Calibri" w:hAnsi="Times New Roman" w:cs="Times New Roman"/>
          <w:sz w:val="28"/>
          <w:szCs w:val="28"/>
          <w:lang w:val="uk-UA"/>
        </w:rPr>
        <w:t>здійснює ліцензування господарської діяльності з виробництва теплової енергії суб’єктів господарювання у разі, якщо суб’єкт господарюв</w:t>
      </w:r>
      <w:r w:rsidR="00DF056C">
        <w:rPr>
          <w:rFonts w:ascii="Times New Roman" w:eastAsia="Calibri" w:hAnsi="Times New Roman" w:cs="Times New Roman"/>
          <w:sz w:val="28"/>
          <w:szCs w:val="28"/>
          <w:lang w:val="uk-UA"/>
        </w:rPr>
        <w:t xml:space="preserve">ання </w:t>
      </w:r>
      <w:r w:rsidRPr="0009187F">
        <w:rPr>
          <w:rFonts w:ascii="Times New Roman" w:eastAsia="Calibri" w:hAnsi="Times New Roman" w:cs="Times New Roman"/>
          <w:sz w:val="28"/>
          <w:szCs w:val="28"/>
          <w:lang w:val="uk-UA"/>
        </w:rPr>
        <w:t xml:space="preserve">провадить (має намір провадити) діяльність з виробництва теплової енергії (крім виробництва теплової енергії на теплоелектроцентралях, теплоелектростанціях, атомних електростанціях, </w:t>
      </w:r>
      <w:proofErr w:type="spellStart"/>
      <w:r w:rsidRPr="0009187F">
        <w:rPr>
          <w:rFonts w:ascii="Times New Roman" w:eastAsia="Calibri" w:hAnsi="Times New Roman" w:cs="Times New Roman"/>
          <w:sz w:val="28"/>
          <w:szCs w:val="28"/>
          <w:lang w:val="uk-UA"/>
        </w:rPr>
        <w:t>когенераційних</w:t>
      </w:r>
      <w:proofErr w:type="spellEnd"/>
      <w:r w:rsidRPr="0009187F">
        <w:rPr>
          <w:rFonts w:ascii="Times New Roman" w:eastAsia="Calibri" w:hAnsi="Times New Roman" w:cs="Times New Roman"/>
          <w:sz w:val="28"/>
          <w:szCs w:val="28"/>
          <w:lang w:val="uk-UA"/>
        </w:rPr>
        <w:t xml:space="preserve"> установках, та установках з використанням нетрадиційних або поновлюваних джерел </w:t>
      </w:r>
      <w:r w:rsidRPr="0009187F">
        <w:rPr>
          <w:rFonts w:ascii="Times New Roman" w:eastAsia="Calibri" w:hAnsi="Times New Roman" w:cs="Times New Roman"/>
          <w:sz w:val="28"/>
          <w:szCs w:val="28"/>
          <w:lang w:val="uk-UA"/>
        </w:rPr>
        <w:lastRenderedPageBreak/>
        <w:t xml:space="preserve">енергії), якщо заявлений (фактичний згідно із звітністю) обсяг виробництва теплової енергії у наступному (минулому) календарному році перевищуватиме (перевищував) 170 тисяч </w:t>
      </w:r>
      <w:proofErr w:type="spellStart"/>
      <w:r w:rsidRPr="0009187F">
        <w:rPr>
          <w:rFonts w:ascii="Times New Roman" w:eastAsia="Calibri" w:hAnsi="Times New Roman" w:cs="Times New Roman"/>
          <w:sz w:val="28"/>
          <w:szCs w:val="28"/>
          <w:lang w:val="uk-UA"/>
        </w:rPr>
        <w:t>Гкал</w:t>
      </w:r>
      <w:proofErr w:type="spellEnd"/>
      <w:r w:rsidRPr="0009187F">
        <w:rPr>
          <w:rFonts w:ascii="Times New Roman" w:eastAsia="Calibri" w:hAnsi="Times New Roman" w:cs="Times New Roman"/>
          <w:sz w:val="28"/>
          <w:szCs w:val="28"/>
          <w:lang w:val="uk-UA"/>
        </w:rPr>
        <w:t xml:space="preserve"> та якщо суб’єкт господарювання здійснює ліцензовану діяльність з постачання теплової енергії при забезпеченості споживачів приладами обліку теплової енергії станом на 01 серпня 2017 року більше ніж 70 %, станом на 01 с</w:t>
      </w:r>
      <w:r>
        <w:rPr>
          <w:rFonts w:ascii="Times New Roman" w:eastAsia="Calibri" w:hAnsi="Times New Roman" w:cs="Times New Roman"/>
          <w:sz w:val="28"/>
          <w:szCs w:val="28"/>
          <w:lang w:val="uk-UA"/>
        </w:rPr>
        <w:t>ічня 2018 року більше ніж 90 %;</w:t>
      </w:r>
    </w:p>
    <w:p w:rsidR="0062717F" w:rsidRDefault="00DF056C" w:rsidP="00883A4F">
      <w:pPr>
        <w:shd w:val="clear" w:color="auto" w:fill="FFFFFF"/>
        <w:tabs>
          <w:tab w:val="left" w:pos="708"/>
        </w:tabs>
        <w:spacing w:after="0" w:line="240" w:lineRule="auto"/>
        <w:ind w:firstLine="450"/>
        <w:jc w:val="both"/>
        <w:textAlignment w:val="baseline"/>
        <w:rPr>
          <w:rFonts w:ascii="Times New Roman" w:eastAsia="Calibri" w:hAnsi="Times New Roman" w:cs="Times New Roman"/>
          <w:sz w:val="28"/>
          <w:szCs w:val="28"/>
          <w:lang w:val="uk-UA"/>
        </w:rPr>
      </w:pPr>
      <w:r w:rsidRPr="00DF056C">
        <w:rPr>
          <w:rFonts w:ascii="Times New Roman" w:eastAsia="Calibri" w:hAnsi="Times New Roman" w:cs="Times New Roman"/>
          <w:sz w:val="28"/>
          <w:szCs w:val="28"/>
          <w:lang w:val="uk-UA"/>
        </w:rPr>
        <w:t xml:space="preserve">здійснює ліцензування господарської діяльності з виробництва теплової енергії суб’єктів господарювання у разі, якщо суб’єкт господарювання </w:t>
      </w:r>
      <w:r w:rsidR="0009187F" w:rsidRPr="0009187F">
        <w:rPr>
          <w:rFonts w:ascii="Times New Roman" w:eastAsia="Calibri" w:hAnsi="Times New Roman" w:cs="Times New Roman"/>
          <w:sz w:val="28"/>
          <w:szCs w:val="28"/>
          <w:lang w:val="uk-UA"/>
        </w:rPr>
        <w:t>провадить (має намір провадити) діяльність з виробництва теплової енергії на теплоелектроцентралях, теплоелектростанціях, атомних електростанц</w:t>
      </w:r>
      <w:r w:rsidR="008B0263">
        <w:rPr>
          <w:rFonts w:ascii="Times New Roman" w:eastAsia="Calibri" w:hAnsi="Times New Roman" w:cs="Times New Roman"/>
          <w:sz w:val="28"/>
          <w:szCs w:val="28"/>
          <w:lang w:val="uk-UA"/>
        </w:rPr>
        <w:t xml:space="preserve">іях і </w:t>
      </w:r>
      <w:proofErr w:type="spellStart"/>
      <w:r w:rsidR="008B0263">
        <w:rPr>
          <w:rFonts w:ascii="Times New Roman" w:eastAsia="Calibri" w:hAnsi="Times New Roman" w:cs="Times New Roman"/>
          <w:sz w:val="28"/>
          <w:szCs w:val="28"/>
          <w:lang w:val="uk-UA"/>
        </w:rPr>
        <w:t>когенераційних</w:t>
      </w:r>
      <w:proofErr w:type="spellEnd"/>
      <w:r w:rsidR="008B0263">
        <w:rPr>
          <w:rFonts w:ascii="Times New Roman" w:eastAsia="Calibri" w:hAnsi="Times New Roman" w:cs="Times New Roman"/>
          <w:sz w:val="28"/>
          <w:szCs w:val="28"/>
          <w:lang w:val="uk-UA"/>
        </w:rPr>
        <w:t xml:space="preserve"> установках;</w:t>
      </w:r>
    </w:p>
    <w:p w:rsidR="008B0263" w:rsidRDefault="008B0263" w:rsidP="00883A4F">
      <w:pPr>
        <w:shd w:val="clear" w:color="auto" w:fill="FFFFFF"/>
        <w:tabs>
          <w:tab w:val="left" w:pos="708"/>
        </w:tabs>
        <w:spacing w:after="0" w:line="240" w:lineRule="auto"/>
        <w:ind w:firstLine="450"/>
        <w:jc w:val="both"/>
        <w:textAlignment w:val="baseline"/>
        <w:rPr>
          <w:rFonts w:ascii="Times New Roman" w:eastAsia="Calibri" w:hAnsi="Times New Roman" w:cs="Times New Roman"/>
          <w:sz w:val="28"/>
          <w:szCs w:val="28"/>
          <w:lang w:val="uk-UA"/>
        </w:rPr>
      </w:pPr>
      <w:r w:rsidRPr="008B0263">
        <w:rPr>
          <w:rFonts w:ascii="Times New Roman" w:eastAsia="Calibri" w:hAnsi="Times New Roman" w:cs="Times New Roman"/>
          <w:sz w:val="28"/>
          <w:szCs w:val="28"/>
          <w:lang w:val="uk-UA"/>
        </w:rPr>
        <w:t xml:space="preserve">здійснює ліцензування господарської діяльності з транспортування теплової енергії магістральними і місцевими (розподільчими) тепловими мережами, якщо заявлений (фактичний згідно зі звітністю) обсяг транспортування теплової енергії в наступному (минулому) календарному році перевищуватиме (перевищував) 145 тисяч </w:t>
      </w:r>
      <w:proofErr w:type="spellStart"/>
      <w:r w:rsidRPr="008B0263">
        <w:rPr>
          <w:rFonts w:ascii="Times New Roman" w:eastAsia="Calibri" w:hAnsi="Times New Roman" w:cs="Times New Roman"/>
          <w:sz w:val="28"/>
          <w:szCs w:val="28"/>
          <w:lang w:val="uk-UA"/>
        </w:rPr>
        <w:t>Гкал</w:t>
      </w:r>
      <w:proofErr w:type="spellEnd"/>
      <w:r w:rsidRPr="008B0263">
        <w:rPr>
          <w:rFonts w:ascii="Times New Roman" w:eastAsia="Calibri" w:hAnsi="Times New Roman" w:cs="Times New Roman"/>
          <w:sz w:val="28"/>
          <w:szCs w:val="28"/>
          <w:lang w:val="uk-UA"/>
        </w:rPr>
        <w:t xml:space="preserve"> та якщо суб’єкт господарювання здійснює ліцензовану діяльність з постачання теплової енергії при забезпеченості споживачів приладами обліку теплової енергії станом на 01 серпня 2017 року більше ніж 70 %, станом на 01 </w:t>
      </w:r>
      <w:r>
        <w:rPr>
          <w:rFonts w:ascii="Times New Roman" w:eastAsia="Calibri" w:hAnsi="Times New Roman" w:cs="Times New Roman"/>
          <w:sz w:val="28"/>
          <w:szCs w:val="28"/>
          <w:lang w:val="uk-UA"/>
        </w:rPr>
        <w:t>січня 2018 року більше ніж 90 %;</w:t>
      </w:r>
    </w:p>
    <w:p w:rsidR="0009187F" w:rsidRDefault="00063B57" w:rsidP="00883A4F">
      <w:pPr>
        <w:shd w:val="clear" w:color="auto" w:fill="FFFFFF"/>
        <w:tabs>
          <w:tab w:val="left" w:pos="708"/>
        </w:tabs>
        <w:spacing w:after="0" w:line="240" w:lineRule="auto"/>
        <w:ind w:firstLine="450"/>
        <w:jc w:val="both"/>
        <w:textAlignment w:val="baseline"/>
        <w:rPr>
          <w:rFonts w:ascii="Times New Roman" w:eastAsia="Calibri" w:hAnsi="Times New Roman" w:cs="Times New Roman"/>
          <w:sz w:val="28"/>
          <w:szCs w:val="28"/>
          <w:lang w:val="uk-UA"/>
        </w:rPr>
      </w:pPr>
      <w:r w:rsidRPr="00063B57">
        <w:rPr>
          <w:rFonts w:ascii="Times New Roman" w:eastAsia="Calibri" w:hAnsi="Times New Roman" w:cs="Times New Roman"/>
          <w:sz w:val="28"/>
          <w:szCs w:val="28"/>
          <w:lang w:val="uk-UA"/>
        </w:rPr>
        <w:t xml:space="preserve">здійснює ліцензування господарської діяльності з постачання теплової енергії суб’єктів господарювання, якщо заявлений (фактичний згідно зі звітністю) обсяг постачання теплової енергії на підставі договору (договорів) у наступному (минулому) календарному році перевищуватиме (перевищував) 145 тисяч </w:t>
      </w:r>
      <w:proofErr w:type="spellStart"/>
      <w:r w:rsidRPr="00063B57">
        <w:rPr>
          <w:rFonts w:ascii="Times New Roman" w:eastAsia="Calibri" w:hAnsi="Times New Roman" w:cs="Times New Roman"/>
          <w:sz w:val="28"/>
          <w:szCs w:val="28"/>
          <w:lang w:val="uk-UA"/>
        </w:rPr>
        <w:t>Гкал</w:t>
      </w:r>
      <w:proofErr w:type="spellEnd"/>
      <w:r w:rsidRPr="00063B57">
        <w:rPr>
          <w:rFonts w:ascii="Times New Roman" w:eastAsia="Calibri" w:hAnsi="Times New Roman" w:cs="Times New Roman"/>
          <w:sz w:val="28"/>
          <w:szCs w:val="28"/>
          <w:lang w:val="uk-UA"/>
        </w:rPr>
        <w:t xml:space="preserve"> та якщо забезпеченість споживачів приладами обліку теплової енергії станом на 01 серпня 2017 року більше ніж 70 %, станом на 01 січня 2018 року більше ніж 90 %.</w:t>
      </w:r>
    </w:p>
    <w:p w:rsidR="0009187F" w:rsidRPr="0009187F" w:rsidRDefault="0009187F" w:rsidP="00883A4F">
      <w:pPr>
        <w:shd w:val="clear" w:color="auto" w:fill="FFFFFF"/>
        <w:tabs>
          <w:tab w:val="left" w:pos="708"/>
        </w:tabs>
        <w:spacing w:after="0" w:line="240" w:lineRule="auto"/>
        <w:ind w:firstLine="450"/>
        <w:jc w:val="both"/>
        <w:textAlignment w:val="baseline"/>
        <w:rPr>
          <w:rFonts w:ascii="Times New Roman" w:eastAsia="Calibri" w:hAnsi="Times New Roman" w:cs="Times New Roman"/>
          <w:sz w:val="28"/>
          <w:szCs w:val="28"/>
          <w:lang w:val="uk-UA"/>
        </w:rPr>
      </w:pPr>
      <w:r w:rsidRPr="0009187F">
        <w:rPr>
          <w:rFonts w:ascii="Times New Roman" w:eastAsia="Calibri" w:hAnsi="Times New Roman" w:cs="Times New Roman"/>
          <w:sz w:val="28"/>
          <w:szCs w:val="28"/>
          <w:lang w:val="uk-UA"/>
        </w:rPr>
        <w:t>Обласні та Київська міська державні адміністрації</w:t>
      </w:r>
      <w:r w:rsidR="00DF056C">
        <w:rPr>
          <w:rFonts w:ascii="Times New Roman" w:eastAsia="Calibri" w:hAnsi="Times New Roman" w:cs="Times New Roman"/>
          <w:sz w:val="28"/>
          <w:szCs w:val="28"/>
          <w:lang w:val="uk-UA"/>
        </w:rPr>
        <w:t>:</w:t>
      </w:r>
      <w:r w:rsidRPr="0009187F">
        <w:rPr>
          <w:rFonts w:ascii="Times New Roman" w:eastAsia="Calibri" w:hAnsi="Times New Roman" w:cs="Times New Roman"/>
          <w:sz w:val="28"/>
          <w:szCs w:val="28"/>
          <w:lang w:val="uk-UA"/>
        </w:rPr>
        <w:t xml:space="preserve"> </w:t>
      </w:r>
    </w:p>
    <w:p w:rsidR="0009187F" w:rsidRPr="0009187F" w:rsidRDefault="00DF056C" w:rsidP="00883A4F">
      <w:pPr>
        <w:shd w:val="clear" w:color="auto" w:fill="FFFFFF"/>
        <w:tabs>
          <w:tab w:val="left" w:pos="708"/>
        </w:tabs>
        <w:spacing w:after="0" w:line="240" w:lineRule="auto"/>
        <w:ind w:firstLine="450"/>
        <w:jc w:val="both"/>
        <w:textAlignment w:val="baseline"/>
        <w:rPr>
          <w:rFonts w:ascii="Times New Roman" w:eastAsia="Calibri" w:hAnsi="Times New Roman" w:cs="Times New Roman"/>
          <w:sz w:val="28"/>
          <w:szCs w:val="28"/>
          <w:lang w:val="uk-UA"/>
        </w:rPr>
      </w:pPr>
      <w:r w:rsidRPr="00DF056C">
        <w:rPr>
          <w:rFonts w:ascii="Times New Roman" w:eastAsia="Calibri" w:hAnsi="Times New Roman" w:cs="Times New Roman"/>
          <w:sz w:val="28"/>
          <w:szCs w:val="28"/>
          <w:lang w:val="uk-UA"/>
        </w:rPr>
        <w:t>здійснюють ліцензування господарської діяльності з виробництва теплової енергії суб’єктів господарювання у ра</w:t>
      </w:r>
      <w:r>
        <w:rPr>
          <w:rFonts w:ascii="Times New Roman" w:eastAsia="Calibri" w:hAnsi="Times New Roman" w:cs="Times New Roman"/>
          <w:sz w:val="28"/>
          <w:szCs w:val="28"/>
          <w:lang w:val="uk-UA"/>
        </w:rPr>
        <w:t xml:space="preserve">зі, якщо суб’єкт господарювання </w:t>
      </w:r>
      <w:r w:rsidR="0009187F" w:rsidRPr="0009187F">
        <w:rPr>
          <w:rFonts w:ascii="Times New Roman" w:eastAsia="Calibri" w:hAnsi="Times New Roman" w:cs="Times New Roman"/>
          <w:sz w:val="28"/>
          <w:szCs w:val="28"/>
          <w:lang w:val="uk-UA"/>
        </w:rPr>
        <w:t xml:space="preserve">провадить (має намір провадити) діяльність з виробництва теплової енергії (крім виробництва теплової енергії на теплоелектроцентралях, теплоелектростанціях, атомних електростанціях, </w:t>
      </w:r>
      <w:proofErr w:type="spellStart"/>
      <w:r w:rsidR="0009187F" w:rsidRPr="0009187F">
        <w:rPr>
          <w:rFonts w:ascii="Times New Roman" w:eastAsia="Calibri" w:hAnsi="Times New Roman" w:cs="Times New Roman"/>
          <w:sz w:val="28"/>
          <w:szCs w:val="28"/>
          <w:lang w:val="uk-UA"/>
        </w:rPr>
        <w:t>когенераційних</w:t>
      </w:r>
      <w:proofErr w:type="spellEnd"/>
      <w:r w:rsidR="0009187F" w:rsidRPr="0009187F">
        <w:rPr>
          <w:rFonts w:ascii="Times New Roman" w:eastAsia="Calibri" w:hAnsi="Times New Roman" w:cs="Times New Roman"/>
          <w:sz w:val="28"/>
          <w:szCs w:val="28"/>
          <w:lang w:val="uk-UA"/>
        </w:rPr>
        <w:t xml:space="preserve"> установках, та установках з використанням нетрадиційних або поновлюваних джерел енергії), на виробничих об’єктах, що розташовані на території однієї області України (або лише на території міста Києва), та якщо заявлений (фактичний згідно із звітністю) обсяг виробництва теплової енергії в наступному (минулому) календарному році не перевищуватиме (не перевищував) 170 тисяч </w:t>
      </w:r>
      <w:proofErr w:type="spellStart"/>
      <w:r w:rsidR="0009187F" w:rsidRPr="0009187F">
        <w:rPr>
          <w:rFonts w:ascii="Times New Roman" w:eastAsia="Calibri" w:hAnsi="Times New Roman" w:cs="Times New Roman"/>
          <w:sz w:val="28"/>
          <w:szCs w:val="28"/>
          <w:lang w:val="uk-UA"/>
        </w:rPr>
        <w:t>Гкал</w:t>
      </w:r>
      <w:proofErr w:type="spellEnd"/>
      <w:r w:rsidR="0009187F" w:rsidRPr="0009187F">
        <w:rPr>
          <w:rFonts w:ascii="Times New Roman" w:eastAsia="Calibri" w:hAnsi="Times New Roman" w:cs="Times New Roman"/>
          <w:sz w:val="28"/>
          <w:szCs w:val="28"/>
          <w:lang w:val="uk-UA"/>
        </w:rPr>
        <w:t xml:space="preserve"> та/або якщо суб’єкт господарювання здійснює ліцензовану діяльність з постачання теплової енергії при забезпеченості споживачів приладами обліку теплової енергії станом на 01 серпня 2017 року менше ніж 70 %, станом на 01 січня 2018 року менше ніж 90 %;</w:t>
      </w:r>
    </w:p>
    <w:p w:rsidR="0009187F" w:rsidRDefault="00DF056C" w:rsidP="00883A4F">
      <w:pPr>
        <w:shd w:val="clear" w:color="auto" w:fill="FFFFFF"/>
        <w:tabs>
          <w:tab w:val="left" w:pos="708"/>
        </w:tabs>
        <w:spacing w:after="0" w:line="240" w:lineRule="auto"/>
        <w:ind w:firstLine="450"/>
        <w:jc w:val="both"/>
        <w:textAlignment w:val="baseline"/>
        <w:rPr>
          <w:rFonts w:ascii="Times New Roman" w:eastAsia="Calibri" w:hAnsi="Times New Roman" w:cs="Times New Roman"/>
          <w:sz w:val="28"/>
          <w:szCs w:val="28"/>
          <w:lang w:val="uk-UA"/>
        </w:rPr>
      </w:pPr>
      <w:r w:rsidRPr="00DF056C">
        <w:rPr>
          <w:rFonts w:ascii="Times New Roman" w:eastAsia="Calibri" w:hAnsi="Times New Roman" w:cs="Times New Roman"/>
          <w:sz w:val="28"/>
          <w:szCs w:val="28"/>
          <w:lang w:val="uk-UA"/>
        </w:rPr>
        <w:t xml:space="preserve">здійснюють ліцензування господарської діяльності з виробництва теплової енергії суб’єктів господарювання у разі, якщо суб’єкт господарювання </w:t>
      </w:r>
      <w:r w:rsidR="0009187F" w:rsidRPr="0009187F">
        <w:rPr>
          <w:rFonts w:ascii="Times New Roman" w:eastAsia="Calibri" w:hAnsi="Times New Roman" w:cs="Times New Roman"/>
          <w:sz w:val="28"/>
          <w:szCs w:val="28"/>
          <w:lang w:val="uk-UA"/>
        </w:rPr>
        <w:lastRenderedPageBreak/>
        <w:t xml:space="preserve">провадить (має намір провадити) діяльність з виробництва теплової енергії на установках з використанням нетрадиційних </w:t>
      </w:r>
      <w:r w:rsidR="008E4A7C">
        <w:rPr>
          <w:rFonts w:ascii="Times New Roman" w:eastAsia="Calibri" w:hAnsi="Times New Roman" w:cs="Times New Roman"/>
          <w:sz w:val="28"/>
          <w:szCs w:val="28"/>
          <w:lang w:val="uk-UA"/>
        </w:rPr>
        <w:t>або поновлюваних джерел енергії;</w:t>
      </w:r>
    </w:p>
    <w:p w:rsidR="008E4A7C" w:rsidRDefault="008E4A7C" w:rsidP="00883A4F">
      <w:pPr>
        <w:shd w:val="clear" w:color="auto" w:fill="FFFFFF"/>
        <w:tabs>
          <w:tab w:val="left" w:pos="708"/>
        </w:tabs>
        <w:spacing w:after="0" w:line="240" w:lineRule="auto"/>
        <w:ind w:firstLine="450"/>
        <w:jc w:val="both"/>
        <w:textAlignment w:val="baseline"/>
        <w:rPr>
          <w:rFonts w:ascii="Times New Roman" w:eastAsia="Calibri" w:hAnsi="Times New Roman" w:cs="Times New Roman"/>
          <w:sz w:val="28"/>
          <w:szCs w:val="28"/>
          <w:lang w:val="uk-UA"/>
        </w:rPr>
      </w:pPr>
      <w:r w:rsidRPr="008E4A7C">
        <w:rPr>
          <w:rFonts w:ascii="Times New Roman" w:eastAsia="Calibri" w:hAnsi="Times New Roman" w:cs="Times New Roman"/>
          <w:sz w:val="28"/>
          <w:szCs w:val="28"/>
          <w:lang w:val="uk-UA"/>
        </w:rPr>
        <w:t xml:space="preserve">здійснюють ліцензування господарської діяльності з транспортування теплової енергії магістральними і місцевими (розподільчими) тепловими мережами суб’єктів господарювання у разі, якщо теплові мережі суб’єктів господарювання розташовані на території однієї області України (або лише на території міста Києва), та якщо заявлений (фактичний згідно зі звітністю) обсяг транспортування теплової енергії в наступному (минулому) календарному році не перевищуватиме (не перевищував) 145 тисяч </w:t>
      </w:r>
      <w:proofErr w:type="spellStart"/>
      <w:r w:rsidRPr="008E4A7C">
        <w:rPr>
          <w:rFonts w:ascii="Times New Roman" w:eastAsia="Calibri" w:hAnsi="Times New Roman" w:cs="Times New Roman"/>
          <w:sz w:val="28"/>
          <w:szCs w:val="28"/>
          <w:lang w:val="uk-UA"/>
        </w:rPr>
        <w:t>Гкал</w:t>
      </w:r>
      <w:proofErr w:type="spellEnd"/>
      <w:r w:rsidRPr="008E4A7C">
        <w:rPr>
          <w:rFonts w:ascii="Times New Roman" w:eastAsia="Calibri" w:hAnsi="Times New Roman" w:cs="Times New Roman"/>
          <w:sz w:val="28"/>
          <w:szCs w:val="28"/>
          <w:lang w:val="uk-UA"/>
        </w:rPr>
        <w:t xml:space="preserve"> та/або якщо суб’єкт господарювання здійснює ліцензовану діяльність з постачання теплової енергії при забезпеченості споживачів приладами обліку теплової енергії станом на 01 серпня 2017 року менше ніж 70 %, станом на 01</w:t>
      </w:r>
      <w:r>
        <w:rPr>
          <w:rFonts w:ascii="Times New Roman" w:eastAsia="Calibri" w:hAnsi="Times New Roman" w:cs="Times New Roman"/>
          <w:sz w:val="28"/>
          <w:szCs w:val="28"/>
          <w:lang w:val="uk-UA"/>
        </w:rPr>
        <w:t xml:space="preserve"> січня 2018 року менше ніж 90 %;</w:t>
      </w:r>
    </w:p>
    <w:p w:rsidR="00C773E3" w:rsidRDefault="00063B57" w:rsidP="00883A4F">
      <w:pPr>
        <w:shd w:val="clear" w:color="auto" w:fill="FFFFFF"/>
        <w:tabs>
          <w:tab w:val="left" w:pos="708"/>
        </w:tabs>
        <w:spacing w:after="0" w:line="240" w:lineRule="auto"/>
        <w:ind w:firstLine="450"/>
        <w:jc w:val="both"/>
        <w:textAlignment w:val="baseline"/>
        <w:rPr>
          <w:rFonts w:ascii="Times New Roman" w:eastAsia="Calibri" w:hAnsi="Times New Roman" w:cs="Times New Roman"/>
          <w:sz w:val="28"/>
          <w:szCs w:val="28"/>
          <w:lang w:val="uk-UA"/>
        </w:rPr>
      </w:pPr>
      <w:r w:rsidRPr="00063B57">
        <w:rPr>
          <w:rFonts w:ascii="Times New Roman" w:eastAsia="Calibri" w:hAnsi="Times New Roman" w:cs="Times New Roman"/>
          <w:sz w:val="28"/>
          <w:szCs w:val="28"/>
          <w:lang w:val="uk-UA"/>
        </w:rPr>
        <w:t xml:space="preserve">здійснюють ліцензування господарської діяльності з постачання теплової енергії суб’єктів господарювання у разі, якщо суб’єкт господарювання здійснює (планує здійснювати) постачання теплової енергії на території однієї області України (або лише на території міста Києва), та якщо заявлений (фактичний згідно зі звітністю) обсяг постачання теплової енергії на підставі договору (договорів) у наступному (минулому) календарному році не перевищуватиме (не перевищував) 145 тисяч </w:t>
      </w:r>
      <w:proofErr w:type="spellStart"/>
      <w:r w:rsidRPr="00063B57">
        <w:rPr>
          <w:rFonts w:ascii="Times New Roman" w:eastAsia="Calibri" w:hAnsi="Times New Roman" w:cs="Times New Roman"/>
          <w:sz w:val="28"/>
          <w:szCs w:val="28"/>
          <w:lang w:val="uk-UA"/>
        </w:rPr>
        <w:t>Гкал</w:t>
      </w:r>
      <w:proofErr w:type="spellEnd"/>
      <w:r w:rsidRPr="00063B57">
        <w:rPr>
          <w:rFonts w:ascii="Times New Roman" w:eastAsia="Calibri" w:hAnsi="Times New Roman" w:cs="Times New Roman"/>
          <w:sz w:val="28"/>
          <w:szCs w:val="28"/>
          <w:lang w:val="uk-UA"/>
        </w:rPr>
        <w:t xml:space="preserve"> (включно) та/або якщо забезпеченість споживачів приладами обліку теплової енергії станом на 01 </w:t>
      </w:r>
      <w:r w:rsidR="00883A4F">
        <w:rPr>
          <w:rFonts w:ascii="Times New Roman" w:eastAsia="Calibri" w:hAnsi="Times New Roman" w:cs="Times New Roman"/>
          <w:sz w:val="28"/>
          <w:szCs w:val="28"/>
          <w:lang w:val="uk-UA"/>
        </w:rPr>
        <w:t> </w:t>
      </w:r>
      <w:r w:rsidRPr="00063B57">
        <w:rPr>
          <w:rFonts w:ascii="Times New Roman" w:eastAsia="Calibri" w:hAnsi="Times New Roman" w:cs="Times New Roman"/>
          <w:sz w:val="28"/>
          <w:szCs w:val="28"/>
          <w:lang w:val="uk-UA"/>
        </w:rPr>
        <w:t xml:space="preserve">серпня 2017 року менше ніж 70 %, станом на 01 січня 2018 року менше ніж 90 </w:t>
      </w:r>
      <w:r w:rsidR="00883A4F">
        <w:rPr>
          <w:rFonts w:ascii="Times New Roman" w:eastAsia="Calibri" w:hAnsi="Times New Roman" w:cs="Times New Roman"/>
          <w:sz w:val="28"/>
          <w:szCs w:val="28"/>
          <w:lang w:val="uk-UA"/>
        </w:rPr>
        <w:t> </w:t>
      </w:r>
      <w:r w:rsidRPr="00063B57">
        <w:rPr>
          <w:rFonts w:ascii="Times New Roman" w:eastAsia="Calibri" w:hAnsi="Times New Roman" w:cs="Times New Roman"/>
          <w:sz w:val="28"/>
          <w:szCs w:val="28"/>
          <w:lang w:val="uk-UA"/>
        </w:rPr>
        <w:t>%.</w:t>
      </w:r>
    </w:p>
    <w:p w:rsidR="008E006F" w:rsidRPr="008E006F" w:rsidRDefault="008E006F" w:rsidP="00883A4F">
      <w:pPr>
        <w:shd w:val="clear" w:color="auto" w:fill="FFFFFF"/>
        <w:tabs>
          <w:tab w:val="left" w:pos="708"/>
        </w:tabs>
        <w:spacing w:after="0" w:line="240" w:lineRule="auto"/>
        <w:ind w:firstLine="450"/>
        <w:jc w:val="both"/>
        <w:textAlignment w:val="baseline"/>
        <w:rPr>
          <w:rFonts w:ascii="Times New Roman" w:eastAsia="Times New Roman" w:hAnsi="Times New Roman" w:cs="Consolas"/>
          <w:sz w:val="28"/>
          <w:szCs w:val="28"/>
          <w:lang w:val="uk-UA" w:eastAsia="ru-RU"/>
        </w:rPr>
      </w:pPr>
      <w:r w:rsidRPr="008E006F">
        <w:rPr>
          <w:rFonts w:ascii="Times New Roman" w:eastAsia="Times New Roman" w:hAnsi="Times New Roman" w:cs="Consolas"/>
          <w:sz w:val="28"/>
          <w:szCs w:val="28"/>
          <w:lang w:val="uk-UA" w:eastAsia="ru-RU"/>
        </w:rPr>
        <w:t xml:space="preserve">Перелік ліцензіатів виконавчого органу Київської міської ради (Київської міської державної адміністрації) розміщено на сайті </w:t>
      </w:r>
      <w:r w:rsidR="000133AB" w:rsidRPr="000133AB">
        <w:rPr>
          <w:rFonts w:ascii="Times New Roman" w:eastAsia="Times New Roman" w:hAnsi="Times New Roman" w:cs="Consolas"/>
          <w:sz w:val="28"/>
          <w:szCs w:val="28"/>
          <w:lang w:val="uk-UA" w:eastAsia="ru-RU"/>
        </w:rPr>
        <w:t>http://dzki.kievcity.gov.ua/content/perelik-licenziativ-kmda.html</w:t>
      </w:r>
      <w:r w:rsidRPr="008E006F">
        <w:rPr>
          <w:rFonts w:ascii="Times New Roman" w:eastAsia="Times New Roman" w:hAnsi="Times New Roman" w:cs="Consolas"/>
          <w:sz w:val="28"/>
          <w:szCs w:val="28"/>
          <w:lang w:val="uk-UA" w:eastAsia="ru-RU"/>
        </w:rPr>
        <w:t>.</w:t>
      </w:r>
    </w:p>
    <w:p w:rsidR="00883A4F" w:rsidRDefault="00883A4F" w:rsidP="00883A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baseline"/>
        <w:rPr>
          <w:rFonts w:ascii="Times New Roman" w:eastAsia="Calibri" w:hAnsi="Times New Roman" w:cs="Times New Roman"/>
          <w:sz w:val="28"/>
          <w:szCs w:val="28"/>
          <w:lang w:val="uk-UA"/>
        </w:rPr>
      </w:pPr>
    </w:p>
    <w:p w:rsidR="003A6F14" w:rsidRPr="003A6F14" w:rsidRDefault="003A6F14" w:rsidP="00883A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baseline"/>
        <w:rPr>
          <w:rFonts w:ascii="Times New Roman" w:eastAsia="Calibri" w:hAnsi="Times New Roman" w:cs="Times New Roman"/>
          <w:sz w:val="28"/>
          <w:szCs w:val="28"/>
          <w:lang w:val="uk-UA"/>
        </w:rPr>
      </w:pPr>
      <w:r w:rsidRPr="003A6F14">
        <w:rPr>
          <w:rFonts w:ascii="Times New Roman" w:eastAsia="Calibri" w:hAnsi="Times New Roman" w:cs="Times New Roman"/>
          <w:sz w:val="28"/>
          <w:szCs w:val="28"/>
          <w:lang w:val="uk-UA"/>
        </w:rPr>
        <w:t>Відповідно до чинного законодавства тарифи на електроенергію встановлює Національна комісія, що здійснює державне регулювання у сферах енергетики та комунальних послуг, а ціни на природний газ для населення – Кабінет Міністрів України (при цьому, обов'язки щодо розрахунків ціни на газ для населення покладено на Міністерство енергетики та вугільної промисловості України).</w:t>
      </w:r>
    </w:p>
    <w:p w:rsidR="003A6F14" w:rsidRPr="003A6F14" w:rsidRDefault="003A6F14" w:rsidP="00883A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baseline"/>
        <w:rPr>
          <w:rFonts w:ascii="Times New Roman" w:eastAsia="Calibri" w:hAnsi="Times New Roman" w:cs="Times New Roman"/>
          <w:sz w:val="28"/>
          <w:szCs w:val="28"/>
          <w:lang w:val="uk-UA"/>
        </w:rPr>
      </w:pPr>
      <w:r w:rsidRPr="003A6F14">
        <w:rPr>
          <w:rFonts w:ascii="Times New Roman" w:eastAsia="Calibri" w:hAnsi="Times New Roman" w:cs="Times New Roman"/>
          <w:sz w:val="28"/>
          <w:szCs w:val="28"/>
          <w:lang w:val="uk-UA"/>
        </w:rPr>
        <w:t>Отже, Київська міська влада не регулює тарифи на природний газ та електроенергію.</w:t>
      </w:r>
    </w:p>
    <w:p w:rsidR="003A6F14" w:rsidRPr="00883A4F" w:rsidRDefault="003A6F14" w:rsidP="00883A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baseline"/>
        <w:rPr>
          <w:rFonts w:ascii="Times New Roman" w:eastAsia="Calibri" w:hAnsi="Times New Roman" w:cs="Times New Roman"/>
          <w:sz w:val="28"/>
          <w:szCs w:val="28"/>
          <w:lang w:val="uk-UA"/>
        </w:rPr>
      </w:pPr>
      <w:r w:rsidRPr="003A6F14">
        <w:rPr>
          <w:rFonts w:ascii="Times New Roman" w:eastAsia="Calibri" w:hAnsi="Times New Roman" w:cs="Times New Roman"/>
          <w:sz w:val="28"/>
          <w:szCs w:val="28"/>
          <w:lang w:val="uk-UA"/>
        </w:rPr>
        <w:t>Водночас повноваження щодо встановлення тарифів на теплову енергію, її виробництво, транспортування та постачання, комунальні послуги з централізованого опалення і постачання гарячої води поділені між Н</w:t>
      </w:r>
      <w:r w:rsidR="001D63FC">
        <w:rPr>
          <w:rFonts w:ascii="Times New Roman" w:eastAsia="Calibri" w:hAnsi="Times New Roman" w:cs="Times New Roman"/>
          <w:sz w:val="28"/>
          <w:szCs w:val="28"/>
          <w:lang w:val="uk-UA"/>
        </w:rPr>
        <w:t xml:space="preserve">аціональною комісією, що здійснює державне регулювання у сферах енергетики та комунальних послуг, </w:t>
      </w:r>
      <w:r w:rsidRPr="003A6F14">
        <w:rPr>
          <w:rFonts w:ascii="Times New Roman" w:eastAsia="Calibri" w:hAnsi="Times New Roman" w:cs="Times New Roman"/>
          <w:sz w:val="28"/>
          <w:szCs w:val="28"/>
          <w:lang w:val="uk-UA"/>
        </w:rPr>
        <w:t>і органами місцевого самоврядування в залежності від обсягів виробництва та надання послуг, території провадження господарської діяльності, рівня забезпеченості споживачів приладами обліку.</w:t>
      </w:r>
    </w:p>
    <w:p w:rsidR="008366E6" w:rsidRPr="00727037" w:rsidRDefault="008366E6" w:rsidP="0072703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textAlignment w:val="baseline"/>
        <w:rPr>
          <w:rFonts w:ascii="Times New Roman" w:eastAsia="Calibri" w:hAnsi="Times New Roman" w:cs="Times New Roman"/>
          <w:sz w:val="28"/>
          <w:szCs w:val="28"/>
          <w:lang w:val="uk-UA"/>
        </w:rPr>
      </w:pPr>
      <w:r w:rsidRPr="006B3744">
        <w:rPr>
          <w:rFonts w:ascii="Times New Roman" w:eastAsia="Calibri" w:hAnsi="Times New Roman" w:cs="Times New Roman"/>
          <w:sz w:val="28"/>
          <w:szCs w:val="28"/>
          <w:lang w:val="uk-UA"/>
        </w:rPr>
        <w:t xml:space="preserve">На цей час тарифи на централізоване опалення та постачання гарячої води ТОВ «Євро-реконструкція», тарифи на централізоване постачання холодної води і водовідведення ПрАТ «АК «Київводоканал» встановлює </w:t>
      </w:r>
      <w:r w:rsidRPr="006B3744">
        <w:rPr>
          <w:rFonts w:ascii="Times New Roman" w:eastAsia="Calibri" w:hAnsi="Times New Roman" w:cs="Times New Roman"/>
          <w:sz w:val="28"/>
          <w:szCs w:val="28"/>
          <w:lang w:val="uk-UA"/>
        </w:rPr>
        <w:lastRenderedPageBreak/>
        <w:t>Національна комісія, що здійснює державне регулювання у сферах енергетики та комунальних послуг.</w:t>
      </w:r>
    </w:p>
    <w:p w:rsidR="008E006F" w:rsidRPr="008E006F" w:rsidRDefault="00883A4F" w:rsidP="00883A4F">
      <w:pPr>
        <w:shd w:val="clear" w:color="auto" w:fill="FFFFFF"/>
        <w:tabs>
          <w:tab w:val="left" w:pos="708"/>
        </w:tabs>
        <w:spacing w:after="0" w:line="240" w:lineRule="auto"/>
        <w:ind w:firstLine="450"/>
        <w:jc w:val="both"/>
        <w:textAlignment w:val="baseline"/>
        <w:rPr>
          <w:rFonts w:ascii="Times New Roman" w:eastAsia="Times New Roman" w:hAnsi="Times New Roman" w:cs="Consolas"/>
          <w:sz w:val="28"/>
          <w:szCs w:val="28"/>
          <w:lang w:val="uk-UA" w:eastAsia="ru-RU"/>
        </w:rPr>
      </w:pPr>
      <w:r>
        <w:rPr>
          <w:rFonts w:ascii="Times New Roman" w:eastAsia="Times New Roman" w:hAnsi="Times New Roman" w:cs="Consolas"/>
          <w:sz w:val="28"/>
          <w:szCs w:val="28"/>
          <w:lang w:val="uk-UA" w:eastAsia="ru-RU"/>
        </w:rPr>
        <w:t>В свою чергу тарифи на централізоване опалення і постачання гарячої води КП «</w:t>
      </w:r>
      <w:proofErr w:type="spellStart"/>
      <w:r>
        <w:rPr>
          <w:rFonts w:ascii="Times New Roman" w:eastAsia="Times New Roman" w:hAnsi="Times New Roman" w:cs="Consolas"/>
          <w:sz w:val="28"/>
          <w:szCs w:val="28"/>
          <w:lang w:val="uk-UA" w:eastAsia="ru-RU"/>
        </w:rPr>
        <w:t>Київтеплоенерго</w:t>
      </w:r>
      <w:proofErr w:type="spellEnd"/>
      <w:r>
        <w:rPr>
          <w:rFonts w:ascii="Times New Roman" w:eastAsia="Times New Roman" w:hAnsi="Times New Roman" w:cs="Consolas"/>
          <w:sz w:val="28"/>
          <w:szCs w:val="28"/>
          <w:lang w:val="uk-UA" w:eastAsia="ru-RU"/>
        </w:rPr>
        <w:t>» встановлює виконавчий орган Київської міської ради (Київська міська державна адміністрація).</w:t>
      </w:r>
    </w:p>
    <w:p w:rsidR="008366E6" w:rsidRDefault="008366E6" w:rsidP="008E006F">
      <w:pPr>
        <w:shd w:val="clear" w:color="auto" w:fill="FFFFFF"/>
        <w:tabs>
          <w:tab w:val="left" w:pos="708"/>
        </w:tabs>
        <w:spacing w:after="0" w:line="240" w:lineRule="auto"/>
        <w:ind w:firstLine="448"/>
        <w:jc w:val="both"/>
        <w:textAlignment w:val="baseline"/>
        <w:rPr>
          <w:rFonts w:ascii="Times New Roman" w:eastAsia="Times New Roman" w:hAnsi="Times New Roman" w:cs="Consolas"/>
          <w:sz w:val="28"/>
          <w:szCs w:val="28"/>
          <w:lang w:val="uk-UA" w:eastAsia="ru-RU"/>
        </w:rPr>
      </w:pPr>
    </w:p>
    <w:p w:rsidR="008366E6" w:rsidRDefault="008366E6" w:rsidP="008E006F">
      <w:pPr>
        <w:shd w:val="clear" w:color="auto" w:fill="FFFFFF"/>
        <w:tabs>
          <w:tab w:val="left" w:pos="708"/>
        </w:tabs>
        <w:spacing w:after="0" w:line="240" w:lineRule="auto"/>
        <w:ind w:firstLine="448"/>
        <w:jc w:val="both"/>
        <w:textAlignment w:val="baseline"/>
        <w:rPr>
          <w:rFonts w:ascii="Times New Roman" w:eastAsia="Times New Roman" w:hAnsi="Times New Roman" w:cs="Consolas"/>
          <w:sz w:val="28"/>
          <w:szCs w:val="28"/>
          <w:lang w:val="uk-UA" w:eastAsia="ru-RU"/>
        </w:rPr>
      </w:pPr>
    </w:p>
    <w:p w:rsidR="008366E6" w:rsidRDefault="008366E6" w:rsidP="008E006F">
      <w:pPr>
        <w:shd w:val="clear" w:color="auto" w:fill="FFFFFF"/>
        <w:tabs>
          <w:tab w:val="left" w:pos="708"/>
        </w:tabs>
        <w:spacing w:after="0" w:line="240" w:lineRule="auto"/>
        <w:ind w:firstLine="448"/>
        <w:jc w:val="both"/>
        <w:textAlignment w:val="baseline"/>
        <w:rPr>
          <w:rFonts w:ascii="Times New Roman" w:eastAsia="Times New Roman" w:hAnsi="Times New Roman" w:cs="Consolas"/>
          <w:sz w:val="28"/>
          <w:szCs w:val="28"/>
          <w:lang w:val="uk-UA" w:eastAsia="ru-RU"/>
        </w:rPr>
      </w:pPr>
    </w:p>
    <w:p w:rsidR="008366E6" w:rsidRDefault="008366E6" w:rsidP="008E006F">
      <w:pPr>
        <w:shd w:val="clear" w:color="auto" w:fill="FFFFFF"/>
        <w:tabs>
          <w:tab w:val="left" w:pos="708"/>
        </w:tabs>
        <w:spacing w:after="0" w:line="240" w:lineRule="auto"/>
        <w:ind w:firstLine="448"/>
        <w:jc w:val="both"/>
        <w:textAlignment w:val="baseline"/>
        <w:rPr>
          <w:rFonts w:ascii="Times New Roman" w:eastAsia="Times New Roman" w:hAnsi="Times New Roman" w:cs="Consolas"/>
          <w:sz w:val="28"/>
          <w:szCs w:val="28"/>
          <w:lang w:val="uk-UA" w:eastAsia="ru-RU"/>
        </w:rPr>
      </w:pPr>
    </w:p>
    <w:p w:rsidR="008366E6" w:rsidRDefault="008366E6" w:rsidP="008E006F">
      <w:pPr>
        <w:shd w:val="clear" w:color="auto" w:fill="FFFFFF"/>
        <w:tabs>
          <w:tab w:val="left" w:pos="708"/>
        </w:tabs>
        <w:spacing w:after="0" w:line="240" w:lineRule="auto"/>
        <w:ind w:firstLine="448"/>
        <w:jc w:val="both"/>
        <w:textAlignment w:val="baseline"/>
        <w:rPr>
          <w:rFonts w:ascii="Times New Roman" w:eastAsia="Times New Roman" w:hAnsi="Times New Roman" w:cs="Consolas"/>
          <w:sz w:val="28"/>
          <w:szCs w:val="28"/>
          <w:lang w:val="uk-UA" w:eastAsia="ru-RU"/>
        </w:rPr>
      </w:pPr>
    </w:p>
    <w:p w:rsidR="008E006F" w:rsidRPr="008E006F" w:rsidRDefault="008E006F" w:rsidP="008E006F">
      <w:pPr>
        <w:shd w:val="clear" w:color="auto" w:fill="FFFFFF"/>
        <w:tabs>
          <w:tab w:val="left" w:pos="708"/>
        </w:tabs>
        <w:spacing w:after="150" w:line="240" w:lineRule="auto"/>
        <w:ind w:firstLine="450"/>
        <w:jc w:val="both"/>
        <w:textAlignment w:val="baseline"/>
        <w:rPr>
          <w:rFonts w:ascii="Times New Roman" w:eastAsia="Times New Roman" w:hAnsi="Times New Roman" w:cs="Consolas"/>
          <w:sz w:val="28"/>
          <w:szCs w:val="28"/>
          <w:lang w:val="uk-UA" w:eastAsia="ru-RU"/>
        </w:rPr>
      </w:pPr>
    </w:p>
    <w:p w:rsidR="008E006F" w:rsidRPr="008E006F" w:rsidRDefault="008E006F" w:rsidP="008E006F">
      <w:pPr>
        <w:tabs>
          <w:tab w:val="left" w:pos="708"/>
        </w:tabs>
        <w:spacing w:after="0" w:line="240" w:lineRule="auto"/>
        <w:ind w:firstLine="567"/>
        <w:contextualSpacing/>
        <w:jc w:val="both"/>
        <w:rPr>
          <w:rFonts w:ascii="Times New Roman" w:eastAsia="Calibri" w:hAnsi="Times New Roman" w:cs="Times New Roman"/>
          <w:sz w:val="28"/>
          <w:szCs w:val="27"/>
          <w:lang w:val="uk-UA" w:eastAsia="uk-UA"/>
        </w:rPr>
      </w:pPr>
    </w:p>
    <w:p w:rsidR="008E006F" w:rsidRPr="008E006F" w:rsidRDefault="008E006F" w:rsidP="008E006F">
      <w:pPr>
        <w:tabs>
          <w:tab w:val="left" w:pos="708"/>
        </w:tabs>
        <w:spacing w:after="0" w:line="240" w:lineRule="auto"/>
        <w:ind w:firstLine="567"/>
        <w:contextualSpacing/>
        <w:jc w:val="both"/>
        <w:rPr>
          <w:rFonts w:ascii="Times New Roman" w:eastAsia="Calibri" w:hAnsi="Times New Roman" w:cs="Times New Roman"/>
          <w:sz w:val="28"/>
          <w:szCs w:val="27"/>
          <w:lang w:val="uk-UA" w:eastAsia="uk-UA"/>
        </w:rPr>
      </w:pPr>
    </w:p>
    <w:p w:rsidR="008E006F" w:rsidRPr="008E006F" w:rsidRDefault="008E006F" w:rsidP="008E006F">
      <w:pPr>
        <w:tabs>
          <w:tab w:val="left" w:pos="708"/>
        </w:tabs>
        <w:spacing w:after="0" w:line="240" w:lineRule="auto"/>
        <w:ind w:firstLine="567"/>
        <w:contextualSpacing/>
        <w:jc w:val="both"/>
        <w:rPr>
          <w:rFonts w:ascii="Times New Roman" w:eastAsia="Calibri" w:hAnsi="Times New Roman" w:cs="Times New Roman"/>
          <w:sz w:val="28"/>
          <w:szCs w:val="27"/>
          <w:lang w:val="uk-UA" w:eastAsia="uk-UA"/>
        </w:rPr>
      </w:pPr>
    </w:p>
    <w:p w:rsidR="008E006F" w:rsidRPr="008E006F" w:rsidRDefault="008E006F" w:rsidP="008E006F">
      <w:pPr>
        <w:tabs>
          <w:tab w:val="left" w:pos="708"/>
        </w:tabs>
        <w:spacing w:after="0" w:line="240" w:lineRule="auto"/>
        <w:ind w:firstLine="567"/>
        <w:contextualSpacing/>
        <w:jc w:val="both"/>
        <w:rPr>
          <w:rFonts w:ascii="Times New Roman" w:eastAsia="Calibri" w:hAnsi="Times New Roman" w:cs="Times New Roman"/>
          <w:sz w:val="28"/>
          <w:szCs w:val="27"/>
          <w:lang w:val="uk-UA" w:eastAsia="uk-UA"/>
        </w:rPr>
      </w:pPr>
    </w:p>
    <w:p w:rsidR="008E006F" w:rsidRPr="008E006F" w:rsidRDefault="008E006F" w:rsidP="008E006F">
      <w:pPr>
        <w:tabs>
          <w:tab w:val="left" w:pos="708"/>
        </w:tabs>
        <w:spacing w:after="0" w:line="240" w:lineRule="auto"/>
        <w:ind w:firstLine="567"/>
        <w:contextualSpacing/>
        <w:jc w:val="both"/>
        <w:rPr>
          <w:rFonts w:ascii="Times New Roman" w:eastAsia="Calibri" w:hAnsi="Times New Roman" w:cs="Times New Roman"/>
          <w:sz w:val="28"/>
          <w:szCs w:val="27"/>
          <w:lang w:val="uk-UA" w:eastAsia="uk-UA"/>
        </w:rPr>
      </w:pPr>
    </w:p>
    <w:p w:rsidR="008E006F" w:rsidRPr="008E006F" w:rsidRDefault="008E006F" w:rsidP="008E006F">
      <w:pPr>
        <w:tabs>
          <w:tab w:val="left" w:pos="708"/>
        </w:tabs>
        <w:spacing w:after="0" w:line="240" w:lineRule="auto"/>
        <w:ind w:firstLine="567"/>
        <w:contextualSpacing/>
        <w:jc w:val="both"/>
        <w:rPr>
          <w:rFonts w:ascii="Times New Roman" w:eastAsia="Calibri" w:hAnsi="Times New Roman" w:cs="Times New Roman"/>
          <w:sz w:val="28"/>
          <w:szCs w:val="27"/>
          <w:lang w:val="uk-UA" w:eastAsia="uk-UA"/>
        </w:rPr>
      </w:pPr>
    </w:p>
    <w:p w:rsidR="008E006F" w:rsidRPr="008E006F" w:rsidRDefault="008E006F" w:rsidP="008E006F">
      <w:pPr>
        <w:tabs>
          <w:tab w:val="left" w:pos="708"/>
        </w:tabs>
        <w:spacing w:after="0" w:line="240" w:lineRule="auto"/>
        <w:ind w:firstLine="567"/>
        <w:contextualSpacing/>
        <w:jc w:val="both"/>
        <w:rPr>
          <w:rFonts w:ascii="Times New Roman" w:eastAsia="Calibri" w:hAnsi="Times New Roman" w:cs="Times New Roman"/>
          <w:sz w:val="28"/>
          <w:szCs w:val="27"/>
          <w:lang w:val="uk-UA" w:eastAsia="uk-UA"/>
        </w:rPr>
      </w:pPr>
    </w:p>
    <w:p w:rsidR="008E006F" w:rsidRPr="008E006F" w:rsidRDefault="008E006F" w:rsidP="008E006F">
      <w:pPr>
        <w:tabs>
          <w:tab w:val="left" w:pos="708"/>
        </w:tabs>
        <w:spacing w:after="0" w:line="240" w:lineRule="auto"/>
        <w:ind w:firstLine="567"/>
        <w:contextualSpacing/>
        <w:jc w:val="both"/>
        <w:rPr>
          <w:rFonts w:ascii="Times New Roman" w:eastAsia="Calibri" w:hAnsi="Times New Roman" w:cs="Times New Roman"/>
          <w:sz w:val="28"/>
          <w:szCs w:val="27"/>
          <w:lang w:val="uk-UA" w:eastAsia="uk-UA"/>
        </w:rPr>
      </w:pPr>
    </w:p>
    <w:p w:rsidR="00DF3F22" w:rsidRPr="008E006F" w:rsidRDefault="00DF3F22">
      <w:pPr>
        <w:rPr>
          <w:lang w:val="uk-UA"/>
        </w:rPr>
      </w:pPr>
    </w:p>
    <w:sectPr w:rsidR="00DF3F22" w:rsidRPr="008E00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18E"/>
    <w:rsid w:val="000133AB"/>
    <w:rsid w:val="00063B57"/>
    <w:rsid w:val="0009187F"/>
    <w:rsid w:val="001D63FC"/>
    <w:rsid w:val="00342C6A"/>
    <w:rsid w:val="003A6F14"/>
    <w:rsid w:val="004262FA"/>
    <w:rsid w:val="004E31D2"/>
    <w:rsid w:val="004F4D56"/>
    <w:rsid w:val="00623363"/>
    <w:rsid w:val="0062717F"/>
    <w:rsid w:val="006B3744"/>
    <w:rsid w:val="00727037"/>
    <w:rsid w:val="008366E6"/>
    <w:rsid w:val="0086614F"/>
    <w:rsid w:val="00883A4F"/>
    <w:rsid w:val="008B0263"/>
    <w:rsid w:val="008E006F"/>
    <w:rsid w:val="008E4A7C"/>
    <w:rsid w:val="0093718E"/>
    <w:rsid w:val="00974F0F"/>
    <w:rsid w:val="009D7A49"/>
    <w:rsid w:val="00AB63C5"/>
    <w:rsid w:val="00C773E3"/>
    <w:rsid w:val="00DF056C"/>
    <w:rsid w:val="00DF3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9A1732-9910-42A1-A063-3137E7B0A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56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1298</Words>
  <Characters>7404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О. Патока</dc:creator>
  <cp:keywords/>
  <dc:description/>
  <cp:lastModifiedBy>Ольга О. Патока</cp:lastModifiedBy>
  <cp:revision>48</cp:revision>
  <dcterms:created xsi:type="dcterms:W3CDTF">2018-10-04T07:39:00Z</dcterms:created>
  <dcterms:modified xsi:type="dcterms:W3CDTF">2018-10-16T07:33:00Z</dcterms:modified>
</cp:coreProperties>
</file>