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02" w:rsidRDefault="00827602" w:rsidP="00827602">
      <w:pPr>
        <w:pStyle w:val="HTML"/>
        <w:shd w:val="clear" w:color="auto" w:fill="FFFFFF"/>
        <w:jc w:val="center"/>
        <w:textAlignment w:val="baseline"/>
        <w:rPr>
          <w:rFonts w:ascii="Times New Roman" w:hAnsi="Times New Roman" w:cs="Times New Roman"/>
          <w:b/>
          <w:sz w:val="28"/>
          <w:szCs w:val="28"/>
        </w:rPr>
      </w:pPr>
      <w:r>
        <w:rPr>
          <w:rFonts w:ascii="Times New Roman" w:hAnsi="Times New Roman" w:cs="Times New Roman"/>
          <w:b/>
          <w:sz w:val="28"/>
          <w:szCs w:val="28"/>
        </w:rPr>
        <w:t>ІНФОРМАЦІЯ</w:t>
      </w:r>
    </w:p>
    <w:p w:rsidR="00560572" w:rsidRPr="00827602" w:rsidRDefault="00827602" w:rsidP="00827602">
      <w:pPr>
        <w:pStyle w:val="HTML"/>
        <w:shd w:val="clear" w:color="auto" w:fill="FFFFFF"/>
        <w:jc w:val="center"/>
        <w:textAlignment w:val="baseline"/>
        <w:rPr>
          <w:rFonts w:ascii="Times New Roman" w:eastAsia="Times New Roman" w:hAnsi="Times New Roman"/>
          <w:b/>
          <w:sz w:val="28"/>
          <w:szCs w:val="28"/>
          <w:lang w:eastAsia="ru-RU"/>
        </w:rPr>
      </w:pPr>
      <w:r w:rsidRPr="00827602">
        <w:rPr>
          <w:rFonts w:ascii="Times New Roman" w:hAnsi="Times New Roman" w:cs="Times New Roman"/>
          <w:b/>
          <w:sz w:val="28"/>
          <w:szCs w:val="28"/>
        </w:rPr>
        <w:t>стосовно розподіл</w:t>
      </w:r>
      <w:r>
        <w:rPr>
          <w:rFonts w:ascii="Times New Roman" w:hAnsi="Times New Roman" w:cs="Times New Roman"/>
          <w:b/>
          <w:sz w:val="28"/>
          <w:szCs w:val="28"/>
        </w:rPr>
        <w:t>у</w:t>
      </w:r>
      <w:r w:rsidRPr="00827602">
        <w:rPr>
          <w:rFonts w:ascii="Times New Roman" w:hAnsi="Times New Roman" w:cs="Times New Roman"/>
          <w:b/>
          <w:sz w:val="28"/>
          <w:szCs w:val="28"/>
        </w:rPr>
        <w:t xml:space="preserve"> повноважень </w:t>
      </w:r>
      <w:r>
        <w:rPr>
          <w:rFonts w:ascii="Times New Roman" w:hAnsi="Times New Roman" w:cs="Times New Roman"/>
          <w:b/>
          <w:sz w:val="28"/>
          <w:szCs w:val="28"/>
        </w:rPr>
        <w:t xml:space="preserve">між </w:t>
      </w:r>
      <w:r w:rsidRPr="00827602">
        <w:rPr>
          <w:rFonts w:ascii="Times New Roman" w:eastAsia="Times New Roman" w:hAnsi="Times New Roman" w:cs="Times New Roman"/>
          <w:b/>
          <w:sz w:val="28"/>
          <w:szCs w:val="28"/>
          <w:lang w:eastAsia="uk-UA"/>
        </w:rPr>
        <w:t xml:space="preserve">НКРЕКП </w:t>
      </w:r>
      <w:r w:rsidRPr="00827602">
        <w:rPr>
          <w:rFonts w:ascii="Times New Roman" w:eastAsia="Times New Roman" w:hAnsi="Times New Roman"/>
          <w:b/>
          <w:sz w:val="28"/>
          <w:szCs w:val="28"/>
          <w:lang w:eastAsia="ru-RU"/>
        </w:rPr>
        <w:t xml:space="preserve">та органами місцевого самоврядування </w:t>
      </w:r>
      <w:r w:rsidRPr="00827602">
        <w:rPr>
          <w:rFonts w:ascii="Times New Roman" w:hAnsi="Times New Roman" w:cs="Times New Roman"/>
          <w:b/>
          <w:sz w:val="28"/>
          <w:szCs w:val="28"/>
        </w:rPr>
        <w:t>щодо</w:t>
      </w:r>
      <w:r w:rsidR="00560572" w:rsidRPr="00827602">
        <w:rPr>
          <w:rFonts w:ascii="Times New Roman" w:hAnsi="Times New Roman" w:cs="Times New Roman"/>
          <w:b/>
          <w:sz w:val="28"/>
          <w:szCs w:val="28"/>
        </w:rPr>
        <w:t xml:space="preserve"> встановлення тарифів на теплову енергію, </w:t>
      </w:r>
      <w:r w:rsidR="00560572" w:rsidRPr="00827602">
        <w:rPr>
          <w:rFonts w:ascii="Times New Roman" w:eastAsia="Times New Roman" w:hAnsi="Times New Roman"/>
          <w:b/>
          <w:sz w:val="28"/>
          <w:szCs w:val="28"/>
          <w:lang w:eastAsia="ru-RU"/>
        </w:rPr>
        <w:t>централізоване водопостачання та водовідведення,</w:t>
      </w:r>
      <w:r w:rsidR="00560572" w:rsidRPr="00827602">
        <w:rPr>
          <w:rFonts w:ascii="Times New Roman" w:hAnsi="Times New Roman" w:cs="Times New Roman"/>
          <w:b/>
          <w:sz w:val="28"/>
          <w:szCs w:val="28"/>
        </w:rPr>
        <w:t xml:space="preserve"> послуги з централізованого опалення і постачання гарячої води та холодної води, </w:t>
      </w:r>
      <w:r w:rsidR="00560572" w:rsidRPr="00827602">
        <w:rPr>
          <w:rFonts w:ascii="Times New Roman" w:eastAsia="Times New Roman" w:hAnsi="Times New Roman"/>
          <w:b/>
          <w:sz w:val="28"/>
          <w:szCs w:val="28"/>
          <w:lang w:eastAsia="ru-RU"/>
        </w:rPr>
        <w:t>водовідведення</w:t>
      </w:r>
    </w:p>
    <w:p w:rsidR="00827602" w:rsidRPr="00560572" w:rsidRDefault="00827602" w:rsidP="00845588">
      <w:pPr>
        <w:pStyle w:val="HTML"/>
        <w:shd w:val="clear" w:color="auto" w:fill="FFFFFF"/>
        <w:ind w:firstLine="851"/>
        <w:jc w:val="both"/>
        <w:textAlignment w:val="baseline"/>
        <w:rPr>
          <w:rFonts w:ascii="Times New Roman" w:hAnsi="Times New Roman" w:cs="Times New Roman"/>
          <w:b/>
          <w:i/>
          <w:sz w:val="28"/>
          <w:szCs w:val="28"/>
          <w:u w:val="single"/>
        </w:rPr>
      </w:pPr>
    </w:p>
    <w:p w:rsidR="004A6875" w:rsidRDefault="00845588" w:rsidP="00845588">
      <w:pPr>
        <w:pStyle w:val="HTML"/>
        <w:shd w:val="clear" w:color="auto" w:fill="FFFFFF"/>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Відповідно до Законів України «</w:t>
      </w:r>
      <w:r w:rsidRPr="00916619">
        <w:rPr>
          <w:rFonts w:ascii="Times New Roman" w:hAnsi="Times New Roman" w:cs="Times New Roman"/>
          <w:sz w:val="28"/>
          <w:szCs w:val="28"/>
        </w:rPr>
        <w:t>Про місцеве самоврядування</w:t>
      </w:r>
      <w:r>
        <w:rPr>
          <w:rFonts w:ascii="Times New Roman" w:hAnsi="Times New Roman" w:cs="Times New Roman"/>
          <w:sz w:val="28"/>
          <w:szCs w:val="28"/>
        </w:rPr>
        <w:t xml:space="preserve"> в </w:t>
      </w:r>
      <w:r w:rsidRPr="00916619">
        <w:rPr>
          <w:rFonts w:ascii="Times New Roman" w:hAnsi="Times New Roman" w:cs="Times New Roman"/>
          <w:sz w:val="28"/>
          <w:szCs w:val="28"/>
        </w:rPr>
        <w:t>Україні</w:t>
      </w:r>
      <w:r>
        <w:rPr>
          <w:rFonts w:ascii="Times New Roman" w:hAnsi="Times New Roman" w:cs="Times New Roman"/>
          <w:sz w:val="28"/>
          <w:szCs w:val="28"/>
        </w:rPr>
        <w:t>», «Про теплопостачання», «Про житлово-комунальні послуги», «</w:t>
      </w:r>
      <w:r w:rsidRPr="00845588">
        <w:rPr>
          <w:rFonts w:ascii="Times New Roman" w:hAnsi="Times New Roman" w:cs="Times New Roman"/>
          <w:sz w:val="28"/>
          <w:szCs w:val="28"/>
        </w:rPr>
        <w:t>Про питну воду та питне водопостачання» п</w:t>
      </w:r>
      <w:r w:rsidR="004A6875">
        <w:rPr>
          <w:rFonts w:ascii="Times New Roman" w:hAnsi="Times New Roman" w:cs="Times New Roman"/>
          <w:sz w:val="28"/>
          <w:szCs w:val="28"/>
        </w:rPr>
        <w:t xml:space="preserve">овноваження щодо </w:t>
      </w:r>
      <w:r w:rsidR="009275F4" w:rsidRPr="009275F4">
        <w:rPr>
          <w:rFonts w:ascii="Times New Roman" w:hAnsi="Times New Roman" w:cs="Times New Roman"/>
          <w:sz w:val="28"/>
          <w:szCs w:val="28"/>
        </w:rPr>
        <w:t>здійснення ліцензування господарської діяльності з виробництва, транспортування та постачання теплової енергії, з централізованого водопостачання та водовідведення,</w:t>
      </w:r>
      <w:r w:rsidR="009275F4">
        <w:rPr>
          <w:color w:val="000000"/>
        </w:rPr>
        <w:t xml:space="preserve"> </w:t>
      </w:r>
      <w:r w:rsidR="004A6875">
        <w:rPr>
          <w:rFonts w:ascii="Times New Roman" w:hAnsi="Times New Roman" w:cs="Times New Roman"/>
          <w:sz w:val="28"/>
          <w:szCs w:val="28"/>
        </w:rPr>
        <w:t xml:space="preserve">встановлення тарифів на теплову енергію, </w:t>
      </w:r>
      <w:r w:rsidR="004A6875">
        <w:rPr>
          <w:rFonts w:ascii="Times New Roman" w:eastAsia="Times New Roman" w:hAnsi="Times New Roman"/>
          <w:sz w:val="28"/>
          <w:szCs w:val="28"/>
          <w:lang w:eastAsia="ru-RU"/>
        </w:rPr>
        <w:t>на централізоване водопостачання та водовідведення,</w:t>
      </w:r>
      <w:r w:rsidR="004A6875">
        <w:rPr>
          <w:rFonts w:ascii="Times New Roman" w:hAnsi="Times New Roman" w:cs="Times New Roman"/>
          <w:sz w:val="28"/>
          <w:szCs w:val="28"/>
        </w:rPr>
        <w:t xml:space="preserve"> послуги з централізованого опалення і постачання гарячої води та холодної води, </w:t>
      </w:r>
      <w:r w:rsidR="004A6875">
        <w:rPr>
          <w:rFonts w:ascii="Times New Roman" w:eastAsia="Times New Roman" w:hAnsi="Times New Roman"/>
          <w:sz w:val="28"/>
          <w:szCs w:val="28"/>
          <w:lang w:eastAsia="ru-RU"/>
        </w:rPr>
        <w:t xml:space="preserve">водовідведення розподілені між </w:t>
      </w:r>
      <w:r w:rsidR="002B7A78">
        <w:rPr>
          <w:rFonts w:ascii="Times New Roman" w:eastAsia="Times New Roman" w:hAnsi="Times New Roman" w:cs="Times New Roman"/>
          <w:sz w:val="28"/>
          <w:szCs w:val="28"/>
          <w:lang w:eastAsia="uk-UA"/>
        </w:rPr>
        <w:t>Національною комісією, що здійснює державне регулювання у сферах енергетики та комунальних послуг</w:t>
      </w:r>
      <w:r w:rsidR="00BC1CCE">
        <w:rPr>
          <w:rFonts w:ascii="Times New Roman" w:eastAsia="Times New Roman" w:hAnsi="Times New Roman" w:cs="Times New Roman"/>
          <w:sz w:val="28"/>
          <w:szCs w:val="28"/>
          <w:lang w:eastAsia="uk-UA"/>
        </w:rPr>
        <w:t xml:space="preserve"> (далі – НКРЕКП)</w:t>
      </w:r>
      <w:r w:rsidR="00C639BD">
        <w:rPr>
          <w:rFonts w:ascii="Times New Roman" w:eastAsia="Times New Roman" w:hAnsi="Times New Roman" w:cs="Times New Roman"/>
          <w:sz w:val="28"/>
          <w:szCs w:val="28"/>
          <w:lang w:eastAsia="uk-UA"/>
        </w:rPr>
        <w:t xml:space="preserve"> </w:t>
      </w:r>
      <w:r w:rsidR="004A6875">
        <w:rPr>
          <w:rFonts w:ascii="Times New Roman" w:eastAsia="Times New Roman" w:hAnsi="Times New Roman"/>
          <w:sz w:val="28"/>
          <w:szCs w:val="28"/>
          <w:lang w:eastAsia="ru-RU"/>
        </w:rPr>
        <w:t xml:space="preserve">та органами місцевого самоврядування в залежності від обсягів відпуску теплової енергії </w:t>
      </w:r>
      <w:r w:rsidR="004A6875">
        <w:rPr>
          <w:rFonts w:ascii="Times New Roman" w:hAnsi="Times New Roman" w:cs="Times New Roman"/>
          <w:sz w:val="28"/>
          <w:szCs w:val="28"/>
        </w:rPr>
        <w:t>суб’єктами господарювання у сфері теплопостачання та чисельності населення і місця розташування суб’єктів господарювання у сфері водопостачання та водовідведення.</w:t>
      </w:r>
    </w:p>
    <w:p w:rsidR="00BC1CCE" w:rsidRPr="009275F4" w:rsidRDefault="009275F4" w:rsidP="00BC1CCE">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0" w:name="n4"/>
      <w:bookmarkEnd w:id="0"/>
      <w:r w:rsidRPr="00261CC0">
        <w:rPr>
          <w:rFonts w:cs="Consolas"/>
          <w:i/>
          <w:sz w:val="28"/>
          <w:szCs w:val="28"/>
          <w:lang w:val="uk-UA"/>
        </w:rPr>
        <w:t>Згідно з п</w:t>
      </w:r>
      <w:r w:rsidR="00BC1CCE" w:rsidRPr="00261CC0">
        <w:rPr>
          <w:rFonts w:cs="Consolas"/>
          <w:i/>
          <w:sz w:val="28"/>
          <w:szCs w:val="28"/>
          <w:lang w:val="uk-UA"/>
        </w:rPr>
        <w:t xml:space="preserve">остановою </w:t>
      </w:r>
      <w:r w:rsidRPr="00261CC0">
        <w:rPr>
          <w:i/>
          <w:sz w:val="28"/>
          <w:szCs w:val="28"/>
          <w:lang w:val="uk-UA" w:eastAsia="uk-UA"/>
        </w:rPr>
        <w:t xml:space="preserve">Національної комісії, що здійснює державне регулювання у сфері комунальних послуг </w:t>
      </w:r>
      <w:r w:rsidR="00BC1CCE" w:rsidRPr="00261CC0">
        <w:rPr>
          <w:rFonts w:cs="Consolas"/>
          <w:i/>
          <w:sz w:val="28"/>
          <w:szCs w:val="28"/>
          <w:lang w:val="uk-UA"/>
        </w:rPr>
        <w:t xml:space="preserve">від 10.08.2012  № 276 «Про затвердження Ліцензійних умов провадження господарської діяльності з виробництва теплової енергії (крім діяльності з виробництва теплової енергії на теплоелектроцентралях, теплоелектростанціях, атомних електростанціях і </w:t>
      </w:r>
      <w:proofErr w:type="spellStart"/>
      <w:r w:rsidR="00BC1CCE" w:rsidRPr="00261CC0">
        <w:rPr>
          <w:rFonts w:cs="Consolas"/>
          <w:i/>
          <w:sz w:val="28"/>
          <w:szCs w:val="28"/>
          <w:lang w:val="uk-UA"/>
        </w:rPr>
        <w:t>когенераційних</w:t>
      </w:r>
      <w:proofErr w:type="spellEnd"/>
      <w:r w:rsidR="00BC1CCE" w:rsidRPr="00261CC0">
        <w:rPr>
          <w:rFonts w:cs="Consolas"/>
          <w:i/>
          <w:sz w:val="28"/>
          <w:szCs w:val="28"/>
          <w:lang w:val="uk-UA"/>
        </w:rPr>
        <w:t xml:space="preserve"> установках та установках з використанням нетрадиційних або поновлюваних джерел енергії)» </w:t>
      </w:r>
      <w:r w:rsidR="00BC1CCE" w:rsidRPr="009275F4">
        <w:rPr>
          <w:rFonts w:cs="Consolas"/>
          <w:sz w:val="28"/>
          <w:szCs w:val="28"/>
          <w:lang w:val="uk-UA"/>
        </w:rPr>
        <w:t>Рада міністрів Автономної Республіки Крим, обласні, Київська та Севастопольська міські державні адміністрації здійснюють ліцензування господарської діяльності з виробництва теплової енергії для суб’єктів господарювання у разі, якщо:</w:t>
      </w:r>
    </w:p>
    <w:p w:rsidR="00BC1CCE" w:rsidRPr="009275F4" w:rsidRDefault="00BC1CCE" w:rsidP="009275F4">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1" w:name="n25"/>
      <w:bookmarkEnd w:id="1"/>
      <w:r w:rsidRPr="009275F4">
        <w:rPr>
          <w:rFonts w:cs="Consolas"/>
          <w:sz w:val="28"/>
          <w:szCs w:val="28"/>
          <w:lang w:val="uk-UA"/>
        </w:rPr>
        <w:t xml:space="preserve">протягом останнього року дії попередньої ліцензії на провадження господарської діяльності з виробництва теплової енергії суб’єкт господарювання здійснював таку господарську діяльність на території однієї області України (або лише на території Автономної Республіки Крим, міст Києва або Севастополя) або якщо із джерел теплової енергії суб’єкта господарювання для потреб споживачів відпускалась теплова енергія в обсязі, що не перевищує 20 тисяч </w:t>
      </w:r>
      <w:proofErr w:type="spellStart"/>
      <w:r w:rsidRPr="009275F4">
        <w:rPr>
          <w:rFonts w:cs="Consolas"/>
          <w:sz w:val="28"/>
          <w:szCs w:val="28"/>
          <w:lang w:val="uk-UA"/>
        </w:rPr>
        <w:t>Гкал</w:t>
      </w:r>
      <w:proofErr w:type="spellEnd"/>
      <w:r w:rsidRPr="009275F4">
        <w:rPr>
          <w:rFonts w:cs="Consolas"/>
          <w:sz w:val="28"/>
          <w:szCs w:val="28"/>
          <w:lang w:val="uk-UA"/>
        </w:rPr>
        <w:t xml:space="preserve"> на рік включно;</w:t>
      </w:r>
    </w:p>
    <w:p w:rsidR="00BC1CCE" w:rsidRPr="009275F4" w:rsidRDefault="00BC1CCE" w:rsidP="009275F4">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2" w:name="n26"/>
      <w:bookmarkEnd w:id="2"/>
      <w:r w:rsidRPr="009275F4">
        <w:rPr>
          <w:rFonts w:cs="Consolas"/>
          <w:sz w:val="28"/>
          <w:szCs w:val="28"/>
          <w:lang w:val="uk-UA"/>
        </w:rPr>
        <w:t xml:space="preserve">суб’єкт господарювання має намір провадити господарську діяльність з виробництва теплової енергії на території однієї області України (або лише на території Автономної Республіки Крим, міст Києва або Севастополя) або відпускати із джерел теплової енергії, що належать йому на правах власності або користування, для потреб споживачів теплову енергію в обсязі, що не перевищує 20 тисяч </w:t>
      </w:r>
      <w:proofErr w:type="spellStart"/>
      <w:r w:rsidRPr="009275F4">
        <w:rPr>
          <w:rFonts w:cs="Consolas"/>
          <w:sz w:val="28"/>
          <w:szCs w:val="28"/>
          <w:lang w:val="uk-UA"/>
        </w:rPr>
        <w:t>Гкал</w:t>
      </w:r>
      <w:proofErr w:type="spellEnd"/>
      <w:r w:rsidRPr="009275F4">
        <w:rPr>
          <w:rFonts w:cs="Consolas"/>
          <w:sz w:val="28"/>
          <w:szCs w:val="28"/>
          <w:lang w:val="uk-UA"/>
        </w:rPr>
        <w:t xml:space="preserve"> на рік.</w:t>
      </w:r>
    </w:p>
    <w:p w:rsidR="00466F65" w:rsidRPr="00466F65"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261CC0">
        <w:rPr>
          <w:rFonts w:cs="Consolas"/>
          <w:i/>
          <w:sz w:val="28"/>
          <w:szCs w:val="28"/>
          <w:lang w:val="uk-UA"/>
        </w:rPr>
        <w:lastRenderedPageBreak/>
        <w:t>Згідно з постановою Національної комісії, що здійснює державне регулювання у сфері комунальних послуг від 10.08.2012  № 277</w:t>
      </w:r>
      <w:r w:rsidR="00482177" w:rsidRPr="00261CC0">
        <w:rPr>
          <w:rFonts w:cs="Consolas"/>
          <w:i/>
          <w:sz w:val="28"/>
          <w:szCs w:val="28"/>
          <w:lang w:val="uk-UA"/>
        </w:rPr>
        <w:t xml:space="preserve"> «Про затвердження Ліцензійних умов провадження господарської діяльності з транспортування теплової енергії магістральними та місцевими (розподільчими) тепловими мережами</w:t>
      </w:r>
      <w:r w:rsidR="00261CC0">
        <w:rPr>
          <w:rFonts w:cs="Consolas"/>
          <w:sz w:val="28"/>
          <w:szCs w:val="28"/>
          <w:lang w:val="uk-UA"/>
        </w:rPr>
        <w:t>»</w:t>
      </w:r>
      <w:r w:rsidR="00466F65" w:rsidRPr="00466F65">
        <w:rPr>
          <w:rFonts w:cs="Consolas"/>
          <w:sz w:val="28"/>
          <w:szCs w:val="28"/>
          <w:lang w:val="uk-UA"/>
        </w:rPr>
        <w:t xml:space="preserve"> Рада міністрів Автономної Республіки Крим, обласні, Київська та Севастопольська міські державні адміністрації здійснюють ліцензування господарської діяльності з транспортування теплової енергії суб’єктів господарювання у разі, якщо:</w:t>
      </w:r>
    </w:p>
    <w:p w:rsidR="00466F65" w:rsidRPr="00466F65" w:rsidRDefault="00466F65"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466F65">
        <w:rPr>
          <w:rFonts w:cs="Consolas"/>
          <w:sz w:val="28"/>
          <w:szCs w:val="28"/>
          <w:lang w:val="uk-UA"/>
        </w:rPr>
        <w:t xml:space="preserve">протягом останнього року дії попередньої ліцензії на провадження господарської діяльності з транспортування теплової енергії суб’єкт господарювання здійснював таку господарську діяльність на території однієї області України (або лише на території Автономної Республіки Крим, міст Києва чи Севастополя) та при цьому із теплових мереж і теплових пунктів суб’єкта господарювання для потреб споживачів відпускалася теплова енергія в обсязі до 18 тисяч </w:t>
      </w:r>
      <w:proofErr w:type="spellStart"/>
      <w:r w:rsidRPr="00466F65">
        <w:rPr>
          <w:rFonts w:cs="Consolas"/>
          <w:sz w:val="28"/>
          <w:szCs w:val="28"/>
          <w:lang w:val="uk-UA"/>
        </w:rPr>
        <w:t>Гкал</w:t>
      </w:r>
      <w:proofErr w:type="spellEnd"/>
      <w:r w:rsidRPr="00466F65">
        <w:rPr>
          <w:rFonts w:cs="Consolas"/>
          <w:sz w:val="28"/>
          <w:szCs w:val="28"/>
          <w:lang w:val="uk-UA"/>
        </w:rPr>
        <w:t xml:space="preserve"> на рік включно;</w:t>
      </w:r>
    </w:p>
    <w:p w:rsidR="00466F65" w:rsidRPr="00466F65" w:rsidRDefault="00466F65"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466F65">
        <w:rPr>
          <w:rFonts w:cs="Consolas"/>
          <w:sz w:val="28"/>
          <w:szCs w:val="28"/>
          <w:lang w:val="uk-UA"/>
        </w:rPr>
        <w:t xml:space="preserve">суб’єкт господарювання має намір здійснювати господарську діяльність з транспортування теплової енергії на території однієї області України (або лише на території Автономної Республіки Крим, міст Києва або Севастополя) та при цьому має намір відпускати із теплових мереж і теплових пунктів для потреб споживачів теплову енергію в обсязі до 18 тисяч </w:t>
      </w:r>
      <w:proofErr w:type="spellStart"/>
      <w:r w:rsidRPr="00466F65">
        <w:rPr>
          <w:rFonts w:cs="Consolas"/>
          <w:sz w:val="28"/>
          <w:szCs w:val="28"/>
          <w:lang w:val="uk-UA"/>
        </w:rPr>
        <w:t>Гкал</w:t>
      </w:r>
      <w:proofErr w:type="spellEnd"/>
      <w:r w:rsidRPr="00466F65">
        <w:rPr>
          <w:rFonts w:cs="Consolas"/>
          <w:sz w:val="28"/>
          <w:szCs w:val="28"/>
          <w:lang w:val="uk-UA"/>
        </w:rPr>
        <w:t xml:space="preserve"> на рік включно.</w:t>
      </w:r>
    </w:p>
    <w:p w:rsidR="009275F4" w:rsidRDefault="009275F4" w:rsidP="009275F4">
      <w:pPr>
        <w:pStyle w:val="rvps2"/>
        <w:shd w:val="clear" w:color="auto" w:fill="FFFFFF"/>
        <w:spacing w:before="0" w:beforeAutospacing="0" w:after="150" w:afterAutospacing="0"/>
        <w:ind w:firstLine="450"/>
        <w:jc w:val="both"/>
        <w:textAlignment w:val="baseline"/>
        <w:rPr>
          <w:rFonts w:cs="Consolas"/>
          <w:sz w:val="28"/>
          <w:szCs w:val="28"/>
          <w:lang w:val="uk-UA"/>
        </w:rPr>
      </w:pPr>
    </w:p>
    <w:p w:rsidR="00466F65" w:rsidRPr="00466F65" w:rsidRDefault="00482177"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261CC0">
        <w:rPr>
          <w:rFonts w:cs="Consolas"/>
          <w:i/>
          <w:sz w:val="28"/>
          <w:szCs w:val="28"/>
          <w:lang w:val="uk-UA"/>
        </w:rPr>
        <w:t>Згідно з постановою Національної комісії, що здійснює державне регулювання у сфері комунальних послуг від 10.08.2012  № 27</w:t>
      </w:r>
      <w:r w:rsidR="00466F65" w:rsidRPr="00261CC0">
        <w:rPr>
          <w:rFonts w:cs="Consolas"/>
          <w:i/>
          <w:sz w:val="28"/>
          <w:szCs w:val="28"/>
          <w:lang w:val="uk-UA"/>
        </w:rPr>
        <w:t>8 «Про затвердження Ліцензійних умов провадження господарської діяльності з постачання теплової енергії»</w:t>
      </w:r>
      <w:r w:rsidR="00466F65" w:rsidRPr="00261CC0">
        <w:rPr>
          <w:i/>
          <w:sz w:val="28"/>
          <w:szCs w:val="28"/>
          <w:lang w:val="uk-UA"/>
        </w:rPr>
        <w:t xml:space="preserve"> </w:t>
      </w:r>
      <w:r w:rsidR="00466F65" w:rsidRPr="00466F65">
        <w:rPr>
          <w:rFonts w:cs="Consolas"/>
          <w:sz w:val="28"/>
          <w:szCs w:val="28"/>
          <w:lang w:val="uk-UA"/>
        </w:rPr>
        <w:t> Рада міністрів Автономної Республіки Крим, обласні, Київська та Севастопольська міські державні адміністрації здійснюють ліцензування господарської діяльності з постачання теплової енергії суб’єктів господарювання у разі, якщо:</w:t>
      </w:r>
    </w:p>
    <w:p w:rsidR="00466F65" w:rsidRPr="00466F65" w:rsidRDefault="00466F65"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466F65">
        <w:rPr>
          <w:rFonts w:cs="Consolas"/>
          <w:sz w:val="28"/>
          <w:szCs w:val="28"/>
          <w:lang w:val="uk-UA"/>
        </w:rPr>
        <w:t xml:space="preserve">протягом останнього року дії попередньої ліцензії на провадження господарської діяльності з постачання теплової енергії суб’єкт господарювання здійснював таку господарську діяльність на території однієї області України (або лише на території Автономної Республіки Крим, міст Києва або Севастополя) та обсяги постачання теплової енергії для потреб споживачів не перевищували 18 тисяч </w:t>
      </w:r>
      <w:proofErr w:type="spellStart"/>
      <w:r w:rsidRPr="00466F65">
        <w:rPr>
          <w:rFonts w:cs="Consolas"/>
          <w:sz w:val="28"/>
          <w:szCs w:val="28"/>
          <w:lang w:val="uk-UA"/>
        </w:rPr>
        <w:t>Гкал</w:t>
      </w:r>
      <w:proofErr w:type="spellEnd"/>
      <w:r w:rsidRPr="00466F65">
        <w:rPr>
          <w:rFonts w:cs="Consolas"/>
          <w:sz w:val="28"/>
          <w:szCs w:val="28"/>
          <w:lang w:val="uk-UA"/>
        </w:rPr>
        <w:t xml:space="preserve"> на рік включно;</w:t>
      </w:r>
    </w:p>
    <w:p w:rsidR="009275F4" w:rsidRDefault="00466F65"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466F65">
        <w:rPr>
          <w:rFonts w:cs="Consolas"/>
          <w:sz w:val="28"/>
          <w:szCs w:val="28"/>
          <w:lang w:val="uk-UA"/>
        </w:rPr>
        <w:t xml:space="preserve">суб’єкт господарювання має намір здійснювати господарську діяльність з постачання теплової енергії на території однієї області України (або лише на території Автономної Республіки Крим, міст Києва або Севастополя) та постачати для потреб споживачів теплову енергію в обсязі до 18 тисяч </w:t>
      </w:r>
      <w:proofErr w:type="spellStart"/>
      <w:r w:rsidRPr="00466F65">
        <w:rPr>
          <w:rFonts w:cs="Consolas"/>
          <w:sz w:val="28"/>
          <w:szCs w:val="28"/>
          <w:lang w:val="uk-UA"/>
        </w:rPr>
        <w:t>Гкал</w:t>
      </w:r>
      <w:proofErr w:type="spellEnd"/>
      <w:r w:rsidRPr="00466F65">
        <w:rPr>
          <w:rFonts w:cs="Consolas"/>
          <w:sz w:val="28"/>
          <w:szCs w:val="28"/>
          <w:lang w:val="uk-UA"/>
        </w:rPr>
        <w:t xml:space="preserve"> на рік включно.</w:t>
      </w:r>
    </w:p>
    <w:p w:rsidR="009275F4" w:rsidRP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sidRPr="00261CC0">
        <w:rPr>
          <w:rFonts w:cs="Consolas"/>
          <w:i/>
          <w:sz w:val="28"/>
          <w:szCs w:val="28"/>
          <w:lang w:val="uk-UA"/>
        </w:rPr>
        <w:t>Згідно з постановою Національної комісії, що здійснює державне регулювання у сфері комунальних послуг від 10.08.2012  № 27</w:t>
      </w:r>
      <w:r w:rsidR="00466F65" w:rsidRPr="00261CC0">
        <w:rPr>
          <w:rFonts w:cs="Consolas"/>
          <w:i/>
          <w:sz w:val="28"/>
          <w:szCs w:val="28"/>
          <w:lang w:val="uk-UA"/>
        </w:rPr>
        <w:t>9</w:t>
      </w:r>
      <w:r w:rsidRPr="009275F4">
        <w:rPr>
          <w:rFonts w:cs="Consolas"/>
          <w:sz w:val="28"/>
          <w:szCs w:val="28"/>
          <w:lang w:val="uk-UA"/>
        </w:rPr>
        <w:t xml:space="preserve"> </w:t>
      </w:r>
      <w:r w:rsidR="00261CC0" w:rsidRPr="00261CC0">
        <w:rPr>
          <w:rFonts w:cs="Consolas"/>
          <w:i/>
          <w:sz w:val="28"/>
          <w:szCs w:val="28"/>
          <w:lang w:val="uk-UA"/>
        </w:rPr>
        <w:t>«</w:t>
      </w:r>
      <w:r w:rsidRPr="00261CC0">
        <w:rPr>
          <w:rFonts w:cs="Consolas"/>
          <w:i/>
          <w:sz w:val="28"/>
          <w:szCs w:val="28"/>
          <w:lang w:val="uk-UA"/>
        </w:rPr>
        <w:t xml:space="preserve">Про </w:t>
      </w:r>
      <w:r w:rsidRPr="00261CC0">
        <w:rPr>
          <w:rFonts w:cs="Consolas"/>
          <w:i/>
          <w:sz w:val="28"/>
          <w:szCs w:val="28"/>
          <w:lang w:val="uk-UA"/>
        </w:rPr>
        <w:lastRenderedPageBreak/>
        <w:t>затвердження Ліцензійних умов провадження господарської діяльності з централізованого водопостачання та водовідведення</w:t>
      </w:r>
      <w:r w:rsidR="00261CC0" w:rsidRPr="00261CC0">
        <w:rPr>
          <w:rFonts w:cs="Consolas"/>
          <w:i/>
          <w:sz w:val="28"/>
          <w:szCs w:val="28"/>
          <w:lang w:val="uk-UA"/>
        </w:rPr>
        <w:t>»</w:t>
      </w:r>
      <w:r w:rsidRPr="00261CC0">
        <w:rPr>
          <w:rFonts w:cs="Consolas"/>
          <w:i/>
          <w:sz w:val="28"/>
          <w:szCs w:val="28"/>
          <w:lang w:val="uk-UA"/>
        </w:rPr>
        <w:t xml:space="preserve">  </w:t>
      </w:r>
      <w:r w:rsidRPr="009275F4">
        <w:rPr>
          <w:rFonts w:cs="Consolas"/>
          <w:sz w:val="28"/>
          <w:szCs w:val="28"/>
          <w:lang w:val="uk-UA"/>
        </w:rPr>
        <w:t>Національна комісія, що здійснює державне регулювання у сфері комунальних послуг здійснює ліцензування господарської діяльності:</w:t>
      </w:r>
    </w:p>
    <w:p w:rsidR="009275F4" w:rsidRP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3" w:name="n33"/>
      <w:bookmarkEnd w:id="3"/>
      <w:r w:rsidRPr="009275F4">
        <w:rPr>
          <w:rFonts w:cs="Consolas"/>
          <w:sz w:val="28"/>
          <w:szCs w:val="28"/>
          <w:lang w:val="uk-UA"/>
        </w:rPr>
        <w:t>суб'єктів господарювання, які надають (мають намір надавати) послуги з централізованого водопостачання (виробництво, транспортування та постачання питної води споживачам) та/або централізованого водовідведення (відведення та/або очищення комунальних та інших стічних вод) в одному чи декількох населених пунктах в межах території однієї області (включаючи Автономну Республіку Крим, міста Київ та Севастополь), чисельність або сукупна чисельність населення яких становить більше ніж тридцять тисяч осіб та обсяги реалізації послуг яких становлять відповідно: з централізованого водопостачання – більше ніж триста тисяч метрів кубічних на рік; з централізованого водовідведення – більше ніж двісті тисяч метрів кубічних на рік;</w:t>
      </w:r>
    </w:p>
    <w:p w:rsidR="009275F4" w:rsidRP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4" w:name="n223"/>
      <w:bookmarkStart w:id="5" w:name="n34"/>
      <w:bookmarkEnd w:id="4"/>
      <w:bookmarkEnd w:id="5"/>
      <w:r w:rsidRPr="009275F4">
        <w:rPr>
          <w:rFonts w:cs="Consolas"/>
          <w:sz w:val="28"/>
          <w:szCs w:val="28"/>
          <w:lang w:val="uk-UA"/>
        </w:rPr>
        <w:t>суб’єктів господарювання, системи централізованого водопостачання та водовідведення яких розташовані на території двох або більше областей (включаючи Автономну Республіку Крим, міста Київ та Севастополь);</w:t>
      </w:r>
    </w:p>
    <w:p w:rsidR="009275F4" w:rsidRP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6" w:name="n35"/>
      <w:bookmarkEnd w:id="6"/>
      <w:r w:rsidRPr="009275F4">
        <w:rPr>
          <w:rFonts w:cs="Consolas"/>
          <w:sz w:val="28"/>
          <w:szCs w:val="28"/>
          <w:lang w:val="uk-UA"/>
        </w:rPr>
        <w:t>підприємств з іноземними інвестиціями, які надають (мають намір надавати) послуги з централізованого водопостачання та водовідведення.</w:t>
      </w:r>
    </w:p>
    <w:p w:rsidR="009275F4" w:rsidRP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7" w:name="n36"/>
      <w:bookmarkEnd w:id="7"/>
      <w:r w:rsidRPr="009275F4">
        <w:rPr>
          <w:rFonts w:cs="Consolas"/>
          <w:sz w:val="28"/>
          <w:szCs w:val="28"/>
          <w:lang w:val="uk-UA"/>
        </w:rPr>
        <w:t xml:space="preserve"> Рада міністрів Автономної Республіки Крим, обласні, Київська та Севастопольська міські державні адміністрації здійснюють ліцензування господарської діяльності:</w:t>
      </w:r>
    </w:p>
    <w:p w:rsidR="009275F4" w:rsidRDefault="009275F4" w:rsidP="00466F65">
      <w:pPr>
        <w:pStyle w:val="rvps2"/>
        <w:shd w:val="clear" w:color="auto" w:fill="FFFFFF"/>
        <w:spacing w:before="0" w:beforeAutospacing="0" w:after="150" w:afterAutospacing="0"/>
        <w:ind w:firstLine="450"/>
        <w:jc w:val="both"/>
        <w:textAlignment w:val="baseline"/>
        <w:rPr>
          <w:rFonts w:cs="Consolas"/>
          <w:sz w:val="28"/>
          <w:szCs w:val="28"/>
          <w:lang w:val="uk-UA"/>
        </w:rPr>
      </w:pPr>
      <w:bookmarkStart w:id="8" w:name="n37"/>
      <w:bookmarkEnd w:id="8"/>
      <w:r w:rsidRPr="009275F4">
        <w:rPr>
          <w:rFonts w:cs="Consolas"/>
          <w:sz w:val="28"/>
          <w:szCs w:val="28"/>
          <w:lang w:val="uk-UA"/>
        </w:rPr>
        <w:t>суб'єктів господарювання, які надають (мають намір надавати) послуги з централізованого водопостачання (виробництво, транспортування та постачання питної води споживачам) та/або централізованого водовідведення (відведення та/або очищення комунальних та інших стічних вод), крім суб’єктів господарювання, ліцензування господарської діяльності яких здійснюється Національною комісією, що здійснює державне регулювання у сфері комунальних послуг.</w:t>
      </w:r>
    </w:p>
    <w:p w:rsidR="00457C11" w:rsidRPr="00457C11" w:rsidRDefault="00457C11" w:rsidP="00466F65">
      <w:pPr>
        <w:pStyle w:val="rvps2"/>
        <w:shd w:val="clear" w:color="auto" w:fill="FFFFFF"/>
        <w:spacing w:before="0" w:beforeAutospacing="0" w:after="150" w:afterAutospacing="0"/>
        <w:ind w:firstLine="450"/>
        <w:jc w:val="both"/>
        <w:textAlignment w:val="baseline"/>
        <w:rPr>
          <w:rFonts w:cs="Consolas"/>
          <w:sz w:val="28"/>
          <w:szCs w:val="28"/>
          <w:lang w:val="uk-UA"/>
        </w:rPr>
      </w:pPr>
      <w:r>
        <w:rPr>
          <w:rFonts w:cs="Consolas"/>
          <w:sz w:val="28"/>
          <w:szCs w:val="28"/>
          <w:lang w:val="uk-UA"/>
        </w:rPr>
        <w:t xml:space="preserve">Перелік ліцензіатів </w:t>
      </w:r>
      <w:r w:rsidRPr="00457C11">
        <w:rPr>
          <w:rFonts w:cs="Consolas"/>
          <w:sz w:val="28"/>
          <w:szCs w:val="28"/>
          <w:lang w:val="uk-UA"/>
        </w:rPr>
        <w:t>виконавчого органу Київської міської ради (Київської міської державної адміністрації) розміщено на сайті http://dzki.kievcity.gov.ua/content/perelik-licenziativ-kmda.html</w:t>
      </w:r>
      <w:r>
        <w:rPr>
          <w:rFonts w:cs="Consolas"/>
          <w:sz w:val="28"/>
          <w:szCs w:val="28"/>
          <w:lang w:val="uk-UA"/>
        </w:rPr>
        <w:t>.</w:t>
      </w:r>
    </w:p>
    <w:p w:rsidR="000A42F4" w:rsidRPr="00560572" w:rsidRDefault="000A42F4" w:rsidP="000A42F4">
      <w:pPr>
        <w:pStyle w:val="HTML"/>
        <w:shd w:val="clear" w:color="auto" w:fill="FFFFFF"/>
        <w:ind w:firstLine="851"/>
        <w:jc w:val="both"/>
        <w:textAlignment w:val="baseline"/>
        <w:rPr>
          <w:rFonts w:ascii="Times New Roman" w:hAnsi="Times New Roman" w:cs="Times New Roman"/>
          <w:b/>
          <w:i/>
          <w:sz w:val="28"/>
          <w:szCs w:val="28"/>
          <w:u w:val="single"/>
        </w:rPr>
      </w:pPr>
      <w:r w:rsidRPr="00560572">
        <w:rPr>
          <w:rFonts w:ascii="Times New Roman" w:hAnsi="Times New Roman" w:cs="Times New Roman"/>
          <w:b/>
          <w:i/>
          <w:sz w:val="28"/>
          <w:szCs w:val="28"/>
          <w:u w:val="single"/>
        </w:rPr>
        <w:t xml:space="preserve">Повноваження </w:t>
      </w:r>
      <w:bookmarkStart w:id="9" w:name="_GoBack"/>
      <w:bookmarkEnd w:id="9"/>
      <w:r w:rsidRPr="00560572">
        <w:rPr>
          <w:rFonts w:ascii="Times New Roman" w:hAnsi="Times New Roman" w:cs="Times New Roman"/>
          <w:b/>
          <w:i/>
          <w:sz w:val="28"/>
          <w:szCs w:val="28"/>
          <w:u w:val="single"/>
        </w:rPr>
        <w:t xml:space="preserve">щодо встановлення тарифів на теплову енергію, </w:t>
      </w:r>
      <w:r w:rsidRPr="00560572">
        <w:rPr>
          <w:rFonts w:ascii="Times New Roman" w:eastAsia="Times New Roman" w:hAnsi="Times New Roman"/>
          <w:b/>
          <w:i/>
          <w:sz w:val="28"/>
          <w:szCs w:val="28"/>
          <w:u w:val="single"/>
          <w:lang w:eastAsia="ru-RU"/>
        </w:rPr>
        <w:t>централізоване водопостачання та водовідведення,</w:t>
      </w:r>
      <w:r w:rsidRPr="00560572">
        <w:rPr>
          <w:rFonts w:ascii="Times New Roman" w:hAnsi="Times New Roman" w:cs="Times New Roman"/>
          <w:b/>
          <w:i/>
          <w:sz w:val="28"/>
          <w:szCs w:val="28"/>
          <w:u w:val="single"/>
        </w:rPr>
        <w:t xml:space="preserve"> послуги з централізованого опалення і постачання гарячої води та холодної води, </w:t>
      </w:r>
      <w:r w:rsidRPr="000A42F4">
        <w:rPr>
          <w:rFonts w:ascii="Times New Roman" w:hAnsi="Times New Roman" w:cs="Times New Roman"/>
          <w:b/>
          <w:i/>
          <w:sz w:val="28"/>
          <w:szCs w:val="28"/>
          <w:u w:val="single"/>
        </w:rPr>
        <w:t xml:space="preserve">водовідведення </w:t>
      </w:r>
      <w:r w:rsidR="006712CA">
        <w:rPr>
          <w:rFonts w:ascii="Times New Roman" w:hAnsi="Times New Roman" w:cs="Times New Roman"/>
          <w:b/>
          <w:i/>
          <w:sz w:val="28"/>
          <w:szCs w:val="28"/>
          <w:u w:val="single"/>
        </w:rPr>
        <w:t xml:space="preserve">для </w:t>
      </w:r>
      <w:r w:rsidRPr="000A42F4">
        <w:rPr>
          <w:rFonts w:ascii="Times New Roman" w:hAnsi="Times New Roman" w:cs="Times New Roman"/>
          <w:b/>
          <w:i/>
          <w:sz w:val="28"/>
          <w:szCs w:val="28"/>
          <w:u w:val="single"/>
        </w:rPr>
        <w:t>ПАТ «Київенерго», ТОВ «Євро-реконструкція» та ПАТ «АК «Київводоканал»</w:t>
      </w:r>
    </w:p>
    <w:p w:rsidR="00BC1CCE" w:rsidRPr="00BC1CCE" w:rsidRDefault="00BC1CCE" w:rsidP="009275F4">
      <w:pPr>
        <w:pStyle w:val="rvps2"/>
        <w:shd w:val="clear" w:color="auto" w:fill="FFFFFF"/>
        <w:spacing w:before="0" w:beforeAutospacing="0" w:after="150" w:afterAutospacing="0"/>
        <w:ind w:firstLine="450"/>
        <w:jc w:val="both"/>
        <w:textAlignment w:val="baseline"/>
        <w:rPr>
          <w:rFonts w:cs="Consolas"/>
          <w:sz w:val="28"/>
          <w:szCs w:val="28"/>
          <w:lang w:val="uk-UA"/>
        </w:rPr>
      </w:pPr>
    </w:p>
    <w:p w:rsidR="00F8786D" w:rsidRPr="00B47D8C" w:rsidRDefault="00F8786D" w:rsidP="00B32856">
      <w:pPr>
        <w:pStyle w:val="rvps2"/>
        <w:shd w:val="clear" w:color="auto" w:fill="FFFFFF"/>
        <w:spacing w:before="0" w:beforeAutospacing="0" w:after="0" w:afterAutospacing="0"/>
        <w:ind w:firstLine="448"/>
        <w:jc w:val="both"/>
        <w:textAlignment w:val="baseline"/>
        <w:rPr>
          <w:rFonts w:cs="Consolas"/>
          <w:sz w:val="28"/>
          <w:szCs w:val="28"/>
          <w:lang w:val="uk-UA"/>
        </w:rPr>
      </w:pPr>
      <w:r w:rsidRPr="00B47D8C">
        <w:rPr>
          <w:rFonts w:cs="Consolas"/>
          <w:sz w:val="28"/>
          <w:szCs w:val="28"/>
          <w:lang w:val="uk-UA"/>
        </w:rPr>
        <w:t xml:space="preserve">Після набрання чинності (26.04.2014) Закону України від 10.04.2014 № 1198-VII «Про внесення змін до деяких законів України щодо удосконалення </w:t>
      </w:r>
      <w:r w:rsidRPr="00B47D8C">
        <w:rPr>
          <w:rFonts w:cs="Consolas"/>
          <w:sz w:val="28"/>
          <w:szCs w:val="28"/>
          <w:lang w:val="uk-UA"/>
        </w:rPr>
        <w:lastRenderedPageBreak/>
        <w:t>розрахунків за енергоносії», повноваження по встановленню тарифів на комунальні послуги з централізованого опалення, постачання гарячої та холодної води, їх водовідведення для кінцевих споживачів (в тому числі для населення), що надаються ПАТ «Київенерго», ТОВ «Євро-реконструкція» та ПАТ «АК «Київводоканал», як виконавцями цих послуг, передані від виконавчого органу Київської міської ради (Київської міської державної адміністрації) до Національної комісії, що здійснює державне регулювання у сфері комунальних послуг (на цей час Національна комісія, що здійснює державне регулювання у сферах енергетики та комунальних послуг) (далі – Комісія).</w:t>
      </w:r>
    </w:p>
    <w:p w:rsidR="00F8786D" w:rsidRDefault="00F8786D" w:rsidP="00B32856">
      <w:pPr>
        <w:pStyle w:val="rvps2"/>
        <w:shd w:val="clear" w:color="auto" w:fill="FFFFFF"/>
        <w:spacing w:before="0" w:beforeAutospacing="0" w:after="0" w:afterAutospacing="0"/>
        <w:ind w:firstLine="448"/>
        <w:jc w:val="both"/>
        <w:textAlignment w:val="baseline"/>
        <w:rPr>
          <w:rFonts w:cs="Consolas"/>
          <w:sz w:val="28"/>
          <w:szCs w:val="28"/>
          <w:lang w:val="uk-UA"/>
        </w:rPr>
      </w:pPr>
      <w:r w:rsidRPr="00B47D8C">
        <w:rPr>
          <w:rFonts w:cs="Consolas"/>
          <w:sz w:val="28"/>
          <w:szCs w:val="28"/>
          <w:lang w:val="uk-UA"/>
        </w:rPr>
        <w:t xml:space="preserve">Таким чином, затвердження тарифів на вищезазначені послуги </w:t>
      </w:r>
      <w:r w:rsidR="00CC7734">
        <w:rPr>
          <w:rFonts w:cs="Consolas"/>
          <w:sz w:val="28"/>
          <w:szCs w:val="28"/>
          <w:lang w:val="uk-UA"/>
        </w:rPr>
        <w:t xml:space="preserve">для </w:t>
      </w:r>
      <w:r w:rsidR="00CC7734" w:rsidRPr="00B47D8C">
        <w:rPr>
          <w:rFonts w:cs="Consolas"/>
          <w:sz w:val="28"/>
          <w:szCs w:val="28"/>
          <w:lang w:val="uk-UA"/>
        </w:rPr>
        <w:t>ПАТ «Київенерго», ТОВ «Євро-реконструкція» та ПАТ «АК «Київводоканал»</w:t>
      </w:r>
      <w:r w:rsidR="00CC7734">
        <w:rPr>
          <w:rFonts w:cs="Consolas"/>
          <w:sz w:val="28"/>
          <w:szCs w:val="28"/>
          <w:lang w:val="uk-UA"/>
        </w:rPr>
        <w:t xml:space="preserve"> </w:t>
      </w:r>
      <w:r w:rsidRPr="00B47D8C">
        <w:rPr>
          <w:rFonts w:cs="Consolas"/>
          <w:sz w:val="28"/>
          <w:szCs w:val="28"/>
          <w:lang w:val="uk-UA"/>
        </w:rPr>
        <w:t>не належить до компетенції виконавчого органу Київської міської ради (Київської міської державної адміністрації).</w:t>
      </w:r>
    </w:p>
    <w:p w:rsidR="00B32856" w:rsidRPr="00B32856" w:rsidRDefault="00B32856" w:rsidP="00B32856">
      <w:pPr>
        <w:pStyle w:val="rvps2"/>
        <w:shd w:val="clear" w:color="auto" w:fill="FFFFFF"/>
        <w:spacing w:before="0" w:beforeAutospacing="0" w:after="0" w:afterAutospacing="0"/>
        <w:ind w:firstLine="448"/>
        <w:jc w:val="both"/>
        <w:textAlignment w:val="baseline"/>
        <w:rPr>
          <w:sz w:val="28"/>
          <w:szCs w:val="27"/>
          <w:lang w:val="uk-UA"/>
        </w:rPr>
      </w:pPr>
      <w:r w:rsidRPr="00B32856">
        <w:rPr>
          <w:rFonts w:cs="Consolas"/>
          <w:sz w:val="28"/>
          <w:szCs w:val="28"/>
          <w:lang w:val="uk-UA"/>
        </w:rPr>
        <w:t>Відповідно до Закону України «Про електроенергетику»,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w:t>
      </w:r>
      <w:r w:rsidRPr="00B32856">
        <w:rPr>
          <w:sz w:val="28"/>
          <w:szCs w:val="27"/>
          <w:lang w:val="uk-UA"/>
        </w:rPr>
        <w:t>, Положення про Національну комісію, що здійснює державне регулювання у сферах енергетики та комунальних послуг, затвердженого Указом Президента України від 10.09.2014 № 715/2014 установлення роздрібних цін на природний газ, електричну енергію, що використовується для потреб населення, також належить до повноважень Національної комісії, що здійснює державне регулювання у сферах енергетики та комунальних послуг.</w:t>
      </w:r>
    </w:p>
    <w:p w:rsidR="009A1E18" w:rsidRDefault="009A1E18" w:rsidP="00B47D8C">
      <w:pPr>
        <w:pStyle w:val="rvps2"/>
        <w:shd w:val="clear" w:color="auto" w:fill="FFFFFF"/>
        <w:spacing w:before="0" w:beforeAutospacing="0" w:after="150" w:afterAutospacing="0"/>
        <w:ind w:firstLine="450"/>
        <w:jc w:val="both"/>
        <w:textAlignment w:val="baseline"/>
        <w:rPr>
          <w:rFonts w:cs="Consolas"/>
          <w:sz w:val="28"/>
          <w:szCs w:val="28"/>
          <w:lang w:val="uk-UA"/>
        </w:rPr>
      </w:pPr>
    </w:p>
    <w:p w:rsidR="00D36E21" w:rsidRDefault="00D36E21"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515D18" w:rsidRDefault="00515D18" w:rsidP="00EA4081">
      <w:pPr>
        <w:pStyle w:val="a4"/>
        <w:ind w:left="0" w:firstLine="567"/>
        <w:jc w:val="both"/>
        <w:rPr>
          <w:sz w:val="28"/>
          <w:szCs w:val="27"/>
        </w:rPr>
      </w:pPr>
    </w:p>
    <w:p w:rsidR="00D36E21" w:rsidRDefault="00D36E21" w:rsidP="00EA4081">
      <w:pPr>
        <w:pStyle w:val="a4"/>
        <w:ind w:left="0" w:firstLine="567"/>
        <w:jc w:val="both"/>
        <w:rPr>
          <w:sz w:val="28"/>
          <w:szCs w:val="27"/>
        </w:rPr>
      </w:pPr>
    </w:p>
    <w:sectPr w:rsidR="00D36E21" w:rsidSect="00B061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B78FA"/>
    <w:multiLevelType w:val="hybridMultilevel"/>
    <w:tmpl w:val="67466210"/>
    <w:lvl w:ilvl="0" w:tplc="2DDEE7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1AF0DED"/>
    <w:multiLevelType w:val="multilevel"/>
    <w:tmpl w:val="F9FE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75"/>
    <w:rsid w:val="000022DD"/>
    <w:rsid w:val="00004AEA"/>
    <w:rsid w:val="0001024C"/>
    <w:rsid w:val="00010B98"/>
    <w:rsid w:val="00022E1A"/>
    <w:rsid w:val="0002675F"/>
    <w:rsid w:val="00031556"/>
    <w:rsid w:val="000547F0"/>
    <w:rsid w:val="000773AB"/>
    <w:rsid w:val="00082F4F"/>
    <w:rsid w:val="000919E4"/>
    <w:rsid w:val="000A42F4"/>
    <w:rsid w:val="000B22C8"/>
    <w:rsid w:val="000D64D8"/>
    <w:rsid w:val="000E3AF9"/>
    <w:rsid w:val="000E50A8"/>
    <w:rsid w:val="000E57FE"/>
    <w:rsid w:val="000F1BDB"/>
    <w:rsid w:val="00106E38"/>
    <w:rsid w:val="001167AE"/>
    <w:rsid w:val="00120F16"/>
    <w:rsid w:val="001238F9"/>
    <w:rsid w:val="00127E75"/>
    <w:rsid w:val="00134574"/>
    <w:rsid w:val="00150CE3"/>
    <w:rsid w:val="001538A3"/>
    <w:rsid w:val="00155E78"/>
    <w:rsid w:val="00161D30"/>
    <w:rsid w:val="00176A01"/>
    <w:rsid w:val="00190C57"/>
    <w:rsid w:val="001938A9"/>
    <w:rsid w:val="001A5679"/>
    <w:rsid w:val="001A620E"/>
    <w:rsid w:val="001A65E0"/>
    <w:rsid w:val="001B3D2E"/>
    <w:rsid w:val="001D54D1"/>
    <w:rsid w:val="001F207C"/>
    <w:rsid w:val="00201871"/>
    <w:rsid w:val="002106F7"/>
    <w:rsid w:val="00231AD3"/>
    <w:rsid w:val="002421DB"/>
    <w:rsid w:val="002507F7"/>
    <w:rsid w:val="0026005F"/>
    <w:rsid w:val="00261CC0"/>
    <w:rsid w:val="00280CD5"/>
    <w:rsid w:val="00291339"/>
    <w:rsid w:val="002920DB"/>
    <w:rsid w:val="002A4E5B"/>
    <w:rsid w:val="002B70FD"/>
    <w:rsid w:val="002B7A78"/>
    <w:rsid w:val="002D0277"/>
    <w:rsid w:val="002D53B1"/>
    <w:rsid w:val="002F2E5C"/>
    <w:rsid w:val="002F4657"/>
    <w:rsid w:val="0030588A"/>
    <w:rsid w:val="003101B3"/>
    <w:rsid w:val="00310361"/>
    <w:rsid w:val="00312514"/>
    <w:rsid w:val="00312DE0"/>
    <w:rsid w:val="003147E7"/>
    <w:rsid w:val="00315816"/>
    <w:rsid w:val="00327B38"/>
    <w:rsid w:val="00327D4E"/>
    <w:rsid w:val="00333070"/>
    <w:rsid w:val="003341BF"/>
    <w:rsid w:val="00341875"/>
    <w:rsid w:val="00342CD1"/>
    <w:rsid w:val="003458C8"/>
    <w:rsid w:val="00352411"/>
    <w:rsid w:val="003563EF"/>
    <w:rsid w:val="0035792C"/>
    <w:rsid w:val="00374448"/>
    <w:rsid w:val="00376439"/>
    <w:rsid w:val="003813D8"/>
    <w:rsid w:val="003926A5"/>
    <w:rsid w:val="00396215"/>
    <w:rsid w:val="003A1264"/>
    <w:rsid w:val="003A6AE6"/>
    <w:rsid w:val="003B6280"/>
    <w:rsid w:val="003C3304"/>
    <w:rsid w:val="003D6B97"/>
    <w:rsid w:val="003E4AB7"/>
    <w:rsid w:val="0040572B"/>
    <w:rsid w:val="00406BC4"/>
    <w:rsid w:val="00411333"/>
    <w:rsid w:val="00430A5D"/>
    <w:rsid w:val="004374BE"/>
    <w:rsid w:val="00437EAB"/>
    <w:rsid w:val="00447F5A"/>
    <w:rsid w:val="004515F4"/>
    <w:rsid w:val="00457C11"/>
    <w:rsid w:val="00466F65"/>
    <w:rsid w:val="00482177"/>
    <w:rsid w:val="004A03AE"/>
    <w:rsid w:val="004A3958"/>
    <w:rsid w:val="004A6875"/>
    <w:rsid w:val="004B3F1B"/>
    <w:rsid w:val="004B45DA"/>
    <w:rsid w:val="004C6466"/>
    <w:rsid w:val="004F7DCF"/>
    <w:rsid w:val="00504252"/>
    <w:rsid w:val="00514FF7"/>
    <w:rsid w:val="00515D18"/>
    <w:rsid w:val="00526069"/>
    <w:rsid w:val="00530264"/>
    <w:rsid w:val="0055201C"/>
    <w:rsid w:val="00556FF8"/>
    <w:rsid w:val="00560572"/>
    <w:rsid w:val="00581652"/>
    <w:rsid w:val="005A6199"/>
    <w:rsid w:val="005A6FFB"/>
    <w:rsid w:val="005A7311"/>
    <w:rsid w:val="005B60E0"/>
    <w:rsid w:val="005E2223"/>
    <w:rsid w:val="005F5F2E"/>
    <w:rsid w:val="00604F70"/>
    <w:rsid w:val="00606FDA"/>
    <w:rsid w:val="006075A4"/>
    <w:rsid w:val="006210ED"/>
    <w:rsid w:val="006212E7"/>
    <w:rsid w:val="006406C1"/>
    <w:rsid w:val="00640A86"/>
    <w:rsid w:val="006712CA"/>
    <w:rsid w:val="00682094"/>
    <w:rsid w:val="006824F5"/>
    <w:rsid w:val="006876D0"/>
    <w:rsid w:val="006949A4"/>
    <w:rsid w:val="006B4597"/>
    <w:rsid w:val="006F1EAE"/>
    <w:rsid w:val="00715026"/>
    <w:rsid w:val="00717A27"/>
    <w:rsid w:val="00725BA6"/>
    <w:rsid w:val="00726587"/>
    <w:rsid w:val="00731AA9"/>
    <w:rsid w:val="0073392B"/>
    <w:rsid w:val="00741AB2"/>
    <w:rsid w:val="0075490B"/>
    <w:rsid w:val="00754976"/>
    <w:rsid w:val="00763BF6"/>
    <w:rsid w:val="00765E21"/>
    <w:rsid w:val="00774A52"/>
    <w:rsid w:val="00784EFC"/>
    <w:rsid w:val="00790612"/>
    <w:rsid w:val="00794BC2"/>
    <w:rsid w:val="00797CC0"/>
    <w:rsid w:val="007A1826"/>
    <w:rsid w:val="007B1827"/>
    <w:rsid w:val="007D0AA3"/>
    <w:rsid w:val="007D3632"/>
    <w:rsid w:val="007F7E90"/>
    <w:rsid w:val="00812F24"/>
    <w:rsid w:val="0081741B"/>
    <w:rsid w:val="00822E64"/>
    <w:rsid w:val="00827602"/>
    <w:rsid w:val="00832240"/>
    <w:rsid w:val="00844576"/>
    <w:rsid w:val="00845588"/>
    <w:rsid w:val="00851D26"/>
    <w:rsid w:val="00872337"/>
    <w:rsid w:val="0088331B"/>
    <w:rsid w:val="00892A04"/>
    <w:rsid w:val="00897CAA"/>
    <w:rsid w:val="008A4C0D"/>
    <w:rsid w:val="008A74B4"/>
    <w:rsid w:val="008E67DD"/>
    <w:rsid w:val="008E686B"/>
    <w:rsid w:val="008F4316"/>
    <w:rsid w:val="00900B1D"/>
    <w:rsid w:val="009270C9"/>
    <w:rsid w:val="009275B0"/>
    <w:rsid w:val="009275F4"/>
    <w:rsid w:val="00934733"/>
    <w:rsid w:val="009364DB"/>
    <w:rsid w:val="009538DD"/>
    <w:rsid w:val="00955FC4"/>
    <w:rsid w:val="00962467"/>
    <w:rsid w:val="00967E69"/>
    <w:rsid w:val="00973D84"/>
    <w:rsid w:val="00983793"/>
    <w:rsid w:val="00987811"/>
    <w:rsid w:val="00996149"/>
    <w:rsid w:val="00996E0B"/>
    <w:rsid w:val="009A1E18"/>
    <w:rsid w:val="009A4B74"/>
    <w:rsid w:val="009A565F"/>
    <w:rsid w:val="009C46A1"/>
    <w:rsid w:val="009C60D2"/>
    <w:rsid w:val="009D3BFD"/>
    <w:rsid w:val="009E41D4"/>
    <w:rsid w:val="009E5E25"/>
    <w:rsid w:val="009F1608"/>
    <w:rsid w:val="00A00A35"/>
    <w:rsid w:val="00A02AAF"/>
    <w:rsid w:val="00A06C1C"/>
    <w:rsid w:val="00A22C7E"/>
    <w:rsid w:val="00A352DF"/>
    <w:rsid w:val="00A36525"/>
    <w:rsid w:val="00A54EA5"/>
    <w:rsid w:val="00A6206D"/>
    <w:rsid w:val="00A715F1"/>
    <w:rsid w:val="00A72929"/>
    <w:rsid w:val="00A81276"/>
    <w:rsid w:val="00A864C0"/>
    <w:rsid w:val="00A97F0B"/>
    <w:rsid w:val="00AB242F"/>
    <w:rsid w:val="00AC00AB"/>
    <w:rsid w:val="00AC02CD"/>
    <w:rsid w:val="00AC7015"/>
    <w:rsid w:val="00AD3798"/>
    <w:rsid w:val="00AF4E54"/>
    <w:rsid w:val="00AF570E"/>
    <w:rsid w:val="00B0552E"/>
    <w:rsid w:val="00B06117"/>
    <w:rsid w:val="00B06C40"/>
    <w:rsid w:val="00B32856"/>
    <w:rsid w:val="00B47D8C"/>
    <w:rsid w:val="00B650A5"/>
    <w:rsid w:val="00B653DA"/>
    <w:rsid w:val="00B75769"/>
    <w:rsid w:val="00B80534"/>
    <w:rsid w:val="00B832FD"/>
    <w:rsid w:val="00B94BCB"/>
    <w:rsid w:val="00BA2EBA"/>
    <w:rsid w:val="00BB3AC6"/>
    <w:rsid w:val="00BB630C"/>
    <w:rsid w:val="00BC01DE"/>
    <w:rsid w:val="00BC1CCE"/>
    <w:rsid w:val="00BC2B4B"/>
    <w:rsid w:val="00BC3B17"/>
    <w:rsid w:val="00BC5DD7"/>
    <w:rsid w:val="00BD01E9"/>
    <w:rsid w:val="00BE53B8"/>
    <w:rsid w:val="00BE6E94"/>
    <w:rsid w:val="00BF33BE"/>
    <w:rsid w:val="00C024D6"/>
    <w:rsid w:val="00C10B51"/>
    <w:rsid w:val="00C139D3"/>
    <w:rsid w:val="00C14316"/>
    <w:rsid w:val="00C169A2"/>
    <w:rsid w:val="00C401E8"/>
    <w:rsid w:val="00C40234"/>
    <w:rsid w:val="00C4226B"/>
    <w:rsid w:val="00C639BD"/>
    <w:rsid w:val="00C64D6C"/>
    <w:rsid w:val="00C67B14"/>
    <w:rsid w:val="00C96CA0"/>
    <w:rsid w:val="00CA0F5F"/>
    <w:rsid w:val="00CA735F"/>
    <w:rsid w:val="00CB14A7"/>
    <w:rsid w:val="00CC4EA6"/>
    <w:rsid w:val="00CC7734"/>
    <w:rsid w:val="00CE1F97"/>
    <w:rsid w:val="00CE22C0"/>
    <w:rsid w:val="00CE514A"/>
    <w:rsid w:val="00D0156F"/>
    <w:rsid w:val="00D031F7"/>
    <w:rsid w:val="00D07074"/>
    <w:rsid w:val="00D10D06"/>
    <w:rsid w:val="00D11849"/>
    <w:rsid w:val="00D13CDD"/>
    <w:rsid w:val="00D25BD8"/>
    <w:rsid w:val="00D36E21"/>
    <w:rsid w:val="00D52149"/>
    <w:rsid w:val="00D61EE1"/>
    <w:rsid w:val="00D63D12"/>
    <w:rsid w:val="00D732D7"/>
    <w:rsid w:val="00D75375"/>
    <w:rsid w:val="00D767D7"/>
    <w:rsid w:val="00D8051E"/>
    <w:rsid w:val="00DB3B8C"/>
    <w:rsid w:val="00DB4249"/>
    <w:rsid w:val="00DD5186"/>
    <w:rsid w:val="00DE2FDB"/>
    <w:rsid w:val="00E055F0"/>
    <w:rsid w:val="00E079F8"/>
    <w:rsid w:val="00E41D98"/>
    <w:rsid w:val="00E522A1"/>
    <w:rsid w:val="00E5735D"/>
    <w:rsid w:val="00E57CCD"/>
    <w:rsid w:val="00E81199"/>
    <w:rsid w:val="00E9159F"/>
    <w:rsid w:val="00EA166B"/>
    <w:rsid w:val="00EA30CD"/>
    <w:rsid w:val="00EA4081"/>
    <w:rsid w:val="00EC1904"/>
    <w:rsid w:val="00EC62E2"/>
    <w:rsid w:val="00F173DC"/>
    <w:rsid w:val="00F26308"/>
    <w:rsid w:val="00F279F4"/>
    <w:rsid w:val="00F31D02"/>
    <w:rsid w:val="00F41E63"/>
    <w:rsid w:val="00F4682D"/>
    <w:rsid w:val="00F52546"/>
    <w:rsid w:val="00F54B58"/>
    <w:rsid w:val="00F60584"/>
    <w:rsid w:val="00F63D80"/>
    <w:rsid w:val="00F6675E"/>
    <w:rsid w:val="00F72633"/>
    <w:rsid w:val="00F8711C"/>
    <w:rsid w:val="00F8786D"/>
    <w:rsid w:val="00FA6F36"/>
    <w:rsid w:val="00FB01BA"/>
    <w:rsid w:val="00FB26F2"/>
    <w:rsid w:val="00FB4FAD"/>
    <w:rsid w:val="00FB62EE"/>
    <w:rsid w:val="00FC3D47"/>
    <w:rsid w:val="00FE6B4F"/>
    <w:rsid w:val="00FF6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75"/>
    <w:pPr>
      <w:spacing w:after="160" w:line="256" w:lineRule="auto"/>
    </w:pPr>
    <w:rPr>
      <w:lang w:val="uk-UA"/>
    </w:rPr>
  </w:style>
  <w:style w:type="paragraph" w:styleId="3">
    <w:name w:val="heading 3"/>
    <w:basedOn w:val="a"/>
    <w:link w:val="30"/>
    <w:uiPriority w:val="9"/>
    <w:qFormat/>
    <w:rsid w:val="00150CE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45588"/>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845588"/>
    <w:rPr>
      <w:rFonts w:ascii="Consolas" w:hAnsi="Consolas" w:cs="Consolas"/>
      <w:sz w:val="20"/>
      <w:szCs w:val="20"/>
      <w:lang w:val="uk-UA"/>
    </w:rPr>
  </w:style>
  <w:style w:type="character" w:styleId="a3">
    <w:name w:val="Hyperlink"/>
    <w:basedOn w:val="a0"/>
    <w:uiPriority w:val="99"/>
    <w:unhideWhenUsed/>
    <w:rsid w:val="00F8786D"/>
    <w:rPr>
      <w:color w:val="0000FF" w:themeColor="hyperlink"/>
      <w:u w:val="single"/>
    </w:rPr>
  </w:style>
  <w:style w:type="paragraph" w:styleId="a4">
    <w:name w:val="List Paragraph"/>
    <w:basedOn w:val="a"/>
    <w:uiPriority w:val="34"/>
    <w:qFormat/>
    <w:rsid w:val="00BC1CCE"/>
    <w:pPr>
      <w:spacing w:after="0" w:line="240" w:lineRule="auto"/>
      <w:ind w:left="720"/>
      <w:contextualSpacing/>
      <w:jc w:val="center"/>
    </w:pPr>
    <w:rPr>
      <w:rFonts w:ascii="Times New Roman" w:eastAsia="Calibri" w:hAnsi="Times New Roman" w:cs="Times New Roman"/>
      <w:sz w:val="20"/>
      <w:szCs w:val="20"/>
      <w:lang w:eastAsia="uk-UA"/>
    </w:rPr>
  </w:style>
  <w:style w:type="paragraph" w:customStyle="1" w:styleId="rvps2">
    <w:name w:val="rvps2"/>
    <w:basedOn w:val="a"/>
    <w:rsid w:val="00BC1C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66F65"/>
  </w:style>
  <w:style w:type="table" w:styleId="a5">
    <w:name w:val="Table Grid"/>
    <w:basedOn w:val="a1"/>
    <w:uiPriority w:val="59"/>
    <w:rsid w:val="00DB3B8C"/>
    <w:pPr>
      <w:spacing w:after="0"/>
      <w:jc w:val="center"/>
    </w:pPr>
    <w:rPr>
      <w:rFonts w:ascii="Times New Roman" w:eastAsia="Calibri" w:hAnsi="Times New Roman" w:cs="Times New Roman"/>
      <w:sz w:val="28"/>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50CE3"/>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75"/>
    <w:pPr>
      <w:spacing w:after="160" w:line="256" w:lineRule="auto"/>
    </w:pPr>
    <w:rPr>
      <w:lang w:val="uk-UA"/>
    </w:rPr>
  </w:style>
  <w:style w:type="paragraph" w:styleId="3">
    <w:name w:val="heading 3"/>
    <w:basedOn w:val="a"/>
    <w:link w:val="30"/>
    <w:uiPriority w:val="9"/>
    <w:qFormat/>
    <w:rsid w:val="00150CE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45588"/>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845588"/>
    <w:rPr>
      <w:rFonts w:ascii="Consolas" w:hAnsi="Consolas" w:cs="Consolas"/>
      <w:sz w:val="20"/>
      <w:szCs w:val="20"/>
      <w:lang w:val="uk-UA"/>
    </w:rPr>
  </w:style>
  <w:style w:type="character" w:styleId="a3">
    <w:name w:val="Hyperlink"/>
    <w:basedOn w:val="a0"/>
    <w:uiPriority w:val="99"/>
    <w:unhideWhenUsed/>
    <w:rsid w:val="00F8786D"/>
    <w:rPr>
      <w:color w:val="0000FF" w:themeColor="hyperlink"/>
      <w:u w:val="single"/>
    </w:rPr>
  </w:style>
  <w:style w:type="paragraph" w:styleId="a4">
    <w:name w:val="List Paragraph"/>
    <w:basedOn w:val="a"/>
    <w:uiPriority w:val="34"/>
    <w:qFormat/>
    <w:rsid w:val="00BC1CCE"/>
    <w:pPr>
      <w:spacing w:after="0" w:line="240" w:lineRule="auto"/>
      <w:ind w:left="720"/>
      <w:contextualSpacing/>
      <w:jc w:val="center"/>
    </w:pPr>
    <w:rPr>
      <w:rFonts w:ascii="Times New Roman" w:eastAsia="Calibri" w:hAnsi="Times New Roman" w:cs="Times New Roman"/>
      <w:sz w:val="20"/>
      <w:szCs w:val="20"/>
      <w:lang w:eastAsia="uk-UA"/>
    </w:rPr>
  </w:style>
  <w:style w:type="paragraph" w:customStyle="1" w:styleId="rvps2">
    <w:name w:val="rvps2"/>
    <w:basedOn w:val="a"/>
    <w:rsid w:val="00BC1C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66F65"/>
  </w:style>
  <w:style w:type="table" w:styleId="a5">
    <w:name w:val="Table Grid"/>
    <w:basedOn w:val="a1"/>
    <w:uiPriority w:val="59"/>
    <w:rsid w:val="00DB3B8C"/>
    <w:pPr>
      <w:spacing w:after="0"/>
      <w:jc w:val="center"/>
    </w:pPr>
    <w:rPr>
      <w:rFonts w:ascii="Times New Roman" w:eastAsia="Calibri" w:hAnsi="Times New Roman" w:cs="Times New Roman"/>
      <w:sz w:val="28"/>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50CE3"/>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8536">
      <w:bodyDiv w:val="1"/>
      <w:marLeft w:val="0"/>
      <w:marRight w:val="0"/>
      <w:marTop w:val="0"/>
      <w:marBottom w:val="0"/>
      <w:divBdr>
        <w:top w:val="none" w:sz="0" w:space="0" w:color="auto"/>
        <w:left w:val="none" w:sz="0" w:space="0" w:color="auto"/>
        <w:bottom w:val="none" w:sz="0" w:space="0" w:color="auto"/>
        <w:right w:val="none" w:sz="0" w:space="0" w:color="auto"/>
      </w:divBdr>
    </w:div>
    <w:div w:id="149562383">
      <w:bodyDiv w:val="1"/>
      <w:marLeft w:val="0"/>
      <w:marRight w:val="0"/>
      <w:marTop w:val="0"/>
      <w:marBottom w:val="0"/>
      <w:divBdr>
        <w:top w:val="none" w:sz="0" w:space="0" w:color="auto"/>
        <w:left w:val="none" w:sz="0" w:space="0" w:color="auto"/>
        <w:bottom w:val="none" w:sz="0" w:space="0" w:color="auto"/>
        <w:right w:val="none" w:sz="0" w:space="0" w:color="auto"/>
      </w:divBdr>
    </w:div>
    <w:div w:id="231476636">
      <w:bodyDiv w:val="1"/>
      <w:marLeft w:val="0"/>
      <w:marRight w:val="0"/>
      <w:marTop w:val="0"/>
      <w:marBottom w:val="0"/>
      <w:divBdr>
        <w:top w:val="none" w:sz="0" w:space="0" w:color="auto"/>
        <w:left w:val="none" w:sz="0" w:space="0" w:color="auto"/>
        <w:bottom w:val="none" w:sz="0" w:space="0" w:color="auto"/>
        <w:right w:val="none" w:sz="0" w:space="0" w:color="auto"/>
      </w:divBdr>
    </w:div>
    <w:div w:id="482744125">
      <w:bodyDiv w:val="1"/>
      <w:marLeft w:val="0"/>
      <w:marRight w:val="0"/>
      <w:marTop w:val="0"/>
      <w:marBottom w:val="0"/>
      <w:divBdr>
        <w:top w:val="none" w:sz="0" w:space="0" w:color="auto"/>
        <w:left w:val="none" w:sz="0" w:space="0" w:color="auto"/>
        <w:bottom w:val="none" w:sz="0" w:space="0" w:color="auto"/>
        <w:right w:val="none" w:sz="0" w:space="0" w:color="auto"/>
      </w:divBdr>
    </w:div>
    <w:div w:id="519855506">
      <w:bodyDiv w:val="1"/>
      <w:marLeft w:val="0"/>
      <w:marRight w:val="0"/>
      <w:marTop w:val="0"/>
      <w:marBottom w:val="0"/>
      <w:divBdr>
        <w:top w:val="none" w:sz="0" w:space="0" w:color="auto"/>
        <w:left w:val="none" w:sz="0" w:space="0" w:color="auto"/>
        <w:bottom w:val="none" w:sz="0" w:space="0" w:color="auto"/>
        <w:right w:val="none" w:sz="0" w:space="0" w:color="auto"/>
      </w:divBdr>
    </w:div>
    <w:div w:id="617882187">
      <w:bodyDiv w:val="1"/>
      <w:marLeft w:val="0"/>
      <w:marRight w:val="0"/>
      <w:marTop w:val="0"/>
      <w:marBottom w:val="0"/>
      <w:divBdr>
        <w:top w:val="none" w:sz="0" w:space="0" w:color="auto"/>
        <w:left w:val="none" w:sz="0" w:space="0" w:color="auto"/>
        <w:bottom w:val="none" w:sz="0" w:space="0" w:color="auto"/>
        <w:right w:val="none" w:sz="0" w:space="0" w:color="auto"/>
      </w:divBdr>
    </w:div>
    <w:div w:id="922299004">
      <w:bodyDiv w:val="1"/>
      <w:marLeft w:val="0"/>
      <w:marRight w:val="0"/>
      <w:marTop w:val="0"/>
      <w:marBottom w:val="0"/>
      <w:divBdr>
        <w:top w:val="none" w:sz="0" w:space="0" w:color="auto"/>
        <w:left w:val="none" w:sz="0" w:space="0" w:color="auto"/>
        <w:bottom w:val="none" w:sz="0" w:space="0" w:color="auto"/>
        <w:right w:val="none" w:sz="0" w:space="0" w:color="auto"/>
      </w:divBdr>
      <w:divsChild>
        <w:div w:id="556823128">
          <w:marLeft w:val="0"/>
          <w:marRight w:val="0"/>
          <w:marTop w:val="150"/>
          <w:marBottom w:val="150"/>
          <w:divBdr>
            <w:top w:val="none" w:sz="0" w:space="0" w:color="auto"/>
            <w:left w:val="none" w:sz="0" w:space="0" w:color="auto"/>
            <w:bottom w:val="none" w:sz="0" w:space="0" w:color="auto"/>
            <w:right w:val="none" w:sz="0" w:space="0" w:color="auto"/>
          </w:divBdr>
        </w:div>
      </w:divsChild>
    </w:div>
    <w:div w:id="1129590066">
      <w:bodyDiv w:val="1"/>
      <w:marLeft w:val="0"/>
      <w:marRight w:val="0"/>
      <w:marTop w:val="0"/>
      <w:marBottom w:val="0"/>
      <w:divBdr>
        <w:top w:val="none" w:sz="0" w:space="0" w:color="auto"/>
        <w:left w:val="none" w:sz="0" w:space="0" w:color="auto"/>
        <w:bottom w:val="none" w:sz="0" w:space="0" w:color="auto"/>
        <w:right w:val="none" w:sz="0" w:space="0" w:color="auto"/>
      </w:divBdr>
    </w:div>
    <w:div w:id="1155803456">
      <w:bodyDiv w:val="1"/>
      <w:marLeft w:val="0"/>
      <w:marRight w:val="0"/>
      <w:marTop w:val="0"/>
      <w:marBottom w:val="0"/>
      <w:divBdr>
        <w:top w:val="none" w:sz="0" w:space="0" w:color="auto"/>
        <w:left w:val="none" w:sz="0" w:space="0" w:color="auto"/>
        <w:bottom w:val="none" w:sz="0" w:space="0" w:color="auto"/>
        <w:right w:val="none" w:sz="0" w:space="0" w:color="auto"/>
      </w:divBdr>
      <w:divsChild>
        <w:div w:id="773987314">
          <w:marLeft w:val="0"/>
          <w:marRight w:val="0"/>
          <w:marTop w:val="150"/>
          <w:marBottom w:val="150"/>
          <w:divBdr>
            <w:top w:val="none" w:sz="0" w:space="0" w:color="auto"/>
            <w:left w:val="none" w:sz="0" w:space="0" w:color="auto"/>
            <w:bottom w:val="none" w:sz="0" w:space="0" w:color="auto"/>
            <w:right w:val="none" w:sz="0" w:space="0" w:color="auto"/>
          </w:divBdr>
        </w:div>
      </w:divsChild>
    </w:div>
    <w:div w:id="1359619168">
      <w:bodyDiv w:val="1"/>
      <w:marLeft w:val="0"/>
      <w:marRight w:val="0"/>
      <w:marTop w:val="0"/>
      <w:marBottom w:val="0"/>
      <w:divBdr>
        <w:top w:val="none" w:sz="0" w:space="0" w:color="auto"/>
        <w:left w:val="none" w:sz="0" w:space="0" w:color="auto"/>
        <w:bottom w:val="none" w:sz="0" w:space="0" w:color="auto"/>
        <w:right w:val="none" w:sz="0" w:space="0" w:color="auto"/>
      </w:divBdr>
    </w:div>
    <w:div w:id="1424959170">
      <w:bodyDiv w:val="1"/>
      <w:marLeft w:val="0"/>
      <w:marRight w:val="0"/>
      <w:marTop w:val="0"/>
      <w:marBottom w:val="0"/>
      <w:divBdr>
        <w:top w:val="none" w:sz="0" w:space="0" w:color="auto"/>
        <w:left w:val="none" w:sz="0" w:space="0" w:color="auto"/>
        <w:bottom w:val="none" w:sz="0" w:space="0" w:color="auto"/>
        <w:right w:val="none" w:sz="0" w:space="0" w:color="auto"/>
      </w:divBdr>
    </w:div>
    <w:div w:id="1633826285">
      <w:bodyDiv w:val="1"/>
      <w:marLeft w:val="0"/>
      <w:marRight w:val="0"/>
      <w:marTop w:val="0"/>
      <w:marBottom w:val="0"/>
      <w:divBdr>
        <w:top w:val="none" w:sz="0" w:space="0" w:color="auto"/>
        <w:left w:val="none" w:sz="0" w:space="0" w:color="auto"/>
        <w:bottom w:val="none" w:sz="0" w:space="0" w:color="auto"/>
        <w:right w:val="none" w:sz="0" w:space="0" w:color="auto"/>
      </w:divBdr>
    </w:div>
    <w:div w:id="1660499996">
      <w:bodyDiv w:val="1"/>
      <w:marLeft w:val="0"/>
      <w:marRight w:val="0"/>
      <w:marTop w:val="0"/>
      <w:marBottom w:val="0"/>
      <w:divBdr>
        <w:top w:val="none" w:sz="0" w:space="0" w:color="auto"/>
        <w:left w:val="none" w:sz="0" w:space="0" w:color="auto"/>
        <w:bottom w:val="none" w:sz="0" w:space="0" w:color="auto"/>
        <w:right w:val="none" w:sz="0" w:space="0" w:color="auto"/>
      </w:divBdr>
    </w:div>
    <w:div w:id="18864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80492-3EA5-4239-80B0-82BC2ACD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8083</Characters>
  <Application>Microsoft Office Word</Application>
  <DocSecurity>0</DocSecurity>
  <Lines>67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2016-06-15T12:01:00Z</dcterms:created>
  <dcterms:modified xsi:type="dcterms:W3CDTF">2016-06-15T12:01:00Z</dcterms:modified>
</cp:coreProperties>
</file>